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textAlignment w:val="auto"/>
        <w:rPr>
          <w:rFonts w:hint="default" w:ascii="Times New Roman" w:hAnsi="Times New Roman" w:eastAsia="仿宋" w:cs="Times New Roman"/>
          <w:sz w:val="32"/>
          <w:szCs w:val="40"/>
          <w:lang w:val="en-US" w:eastAsia="zh-CN"/>
        </w:rPr>
      </w:pPr>
      <w:r>
        <w:rPr>
          <w:rFonts w:hint="default" w:ascii="Times New Roman" w:hAnsi="Times New Roman" w:eastAsia="仿宋" w:cs="Times New Roman"/>
          <w:sz w:val="32"/>
          <w:szCs w:val="40"/>
          <w:lang w:val="en-US" w:eastAsia="zh-CN"/>
        </w:rPr>
        <w:t>附件1：</w:t>
      </w:r>
    </w:p>
    <w:p>
      <w:pPr>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sz w:val="32"/>
          <w:szCs w:val="40"/>
          <w:lang w:val="en-US" w:eastAsia="zh-CN"/>
        </w:rPr>
      </w:pPr>
      <w:r>
        <w:rPr>
          <w:rFonts w:hint="eastAsia" w:ascii="Times New Roman" w:hAnsi="Times New Roman" w:cs="Times New Roman"/>
          <w:b/>
          <w:bCs/>
          <w:sz w:val="32"/>
          <w:szCs w:val="40"/>
          <w:lang w:val="en-US" w:eastAsia="zh-CN"/>
        </w:rPr>
        <w:t xml:space="preserve">      成都国生创新科技服务有限公司</w:t>
      </w:r>
      <w:r>
        <w:rPr>
          <w:rFonts w:hint="default" w:ascii="Times New Roman" w:hAnsi="Times New Roman" w:cs="Times New Roman"/>
          <w:b/>
          <w:bCs/>
          <w:sz w:val="32"/>
          <w:szCs w:val="40"/>
          <w:lang w:val="en-US" w:eastAsia="zh-CN"/>
        </w:rPr>
        <w:t>诺峰全剂型国际制剂中心项目消防系统零配件采购项目商务、技术及服务要求</w:t>
      </w:r>
    </w:p>
    <w:p>
      <w:pPr>
        <w:keepNext w:val="0"/>
        <w:keepLines w:val="0"/>
        <w:pageBreakBefore w:val="0"/>
        <w:widowControl w:val="0"/>
        <w:kinsoku/>
        <w:overflowPunct/>
        <w:topLinePunct w:val="0"/>
        <w:bidi w:val="0"/>
        <w:textAlignment w:val="auto"/>
        <w:rPr>
          <w:rFonts w:hint="default" w:ascii="Times New Roman" w:hAnsi="Times New Roman" w:cs="Times New Roma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 xml:space="preserve">商务要求：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480" w:firstLineChars="200"/>
        <w:textAlignment w:val="auto"/>
        <w:rPr>
          <w:rFonts w:hint="default"/>
        </w:rPr>
      </w:pPr>
      <w:r>
        <w:rPr>
          <w:rFonts w:hint="eastAsia" w:ascii="Times New Roman" w:hAnsi="Times New Roman" w:eastAsia="方正仿宋_GB2312" w:cs="Times New Roman"/>
          <w:sz w:val="24"/>
          <w:szCs w:val="32"/>
          <w:lang w:val="en-US" w:eastAsia="zh-CN"/>
        </w:rPr>
        <w:t>成都国生创新科技服务有限公司作为本项目的资产管理方，受权属方成都生物城建设有限公司委托，对本项目进行运营管理工作。本项目相关合同采用三方协议，签约方为权属方、资产管理方及成交人。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二</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服务期限：</w:t>
      </w:r>
      <w:r>
        <w:rPr>
          <w:rFonts w:hint="default" w:ascii="Times New Roman" w:hAnsi="Times New Roman" w:eastAsia="方正仿宋_GB2312" w:cs="Times New Roman"/>
          <w:sz w:val="24"/>
          <w:szCs w:val="32"/>
          <w:lang w:val="en-US" w:eastAsia="zh-CN"/>
        </w:rPr>
        <w:t>自合同签订之日起1</w:t>
      </w:r>
      <w:r>
        <w:rPr>
          <w:rFonts w:hint="eastAsia" w:ascii="Times New Roman" w:hAnsi="Times New Roman" w:eastAsia="方正仿宋_GB2312" w:cs="Times New Roman"/>
          <w:sz w:val="24"/>
          <w:szCs w:val="32"/>
          <w:lang w:val="en-US" w:eastAsia="zh-CN"/>
        </w:rPr>
        <w:t>0</w:t>
      </w:r>
      <w:r>
        <w:rPr>
          <w:rFonts w:hint="default" w:ascii="Times New Roman" w:hAnsi="Times New Roman" w:eastAsia="方正仿宋_GB2312" w:cs="Times New Roman"/>
          <w:sz w:val="24"/>
          <w:szCs w:val="32"/>
          <w:lang w:val="en-US" w:eastAsia="zh-CN"/>
        </w:rPr>
        <w:t>日内完成货物的采购、安装调试并交付使用</w:t>
      </w:r>
      <w:r>
        <w:rPr>
          <w:rFonts w:hint="eastAsia" w:ascii="Times New Roman" w:hAnsi="Times New Roman" w:eastAsia="方正仿宋_GB2312" w:cs="Times New Roman"/>
          <w:sz w:val="24"/>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三</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支付方式：</w:t>
      </w:r>
      <w:r>
        <w:rPr>
          <w:rFonts w:hint="default" w:ascii="Times New Roman" w:hAnsi="Times New Roman" w:eastAsia="方正仿宋_GB2312" w:cs="Times New Roman"/>
          <w:sz w:val="24"/>
          <w:szCs w:val="32"/>
          <w:lang w:val="en-US" w:eastAsia="zh-CN"/>
        </w:rPr>
        <w:t>货物</w:t>
      </w:r>
      <w:r>
        <w:rPr>
          <w:rFonts w:hint="default" w:ascii="Times New Roman" w:hAnsi="Times New Roman" w:eastAsia="方正仿宋_GB2312" w:cs="Times New Roman"/>
          <w:sz w:val="24"/>
          <w:szCs w:val="32"/>
        </w:rPr>
        <w:t>安装调试完毕，经</w:t>
      </w:r>
      <w:r>
        <w:rPr>
          <w:rFonts w:hint="default" w:ascii="Times New Roman" w:hAnsi="Times New Roman" w:eastAsia="方正仿宋_GB2312" w:cs="Times New Roman"/>
          <w:sz w:val="24"/>
          <w:szCs w:val="32"/>
          <w:lang w:val="en-US" w:eastAsia="zh-CN"/>
        </w:rPr>
        <w:t>采购人</w:t>
      </w:r>
      <w:r>
        <w:rPr>
          <w:rFonts w:hint="default" w:ascii="Times New Roman" w:hAnsi="Times New Roman" w:eastAsia="方正仿宋_GB2312" w:cs="Times New Roman"/>
          <w:sz w:val="24"/>
          <w:szCs w:val="32"/>
        </w:rPr>
        <w:t>验收合格后，</w:t>
      </w:r>
      <w:r>
        <w:rPr>
          <w:rFonts w:hint="default" w:ascii="Times New Roman" w:hAnsi="Times New Roman" w:eastAsia="方正仿宋_GB2312" w:cs="Times New Roman"/>
          <w:sz w:val="24"/>
          <w:szCs w:val="32"/>
          <w:lang w:val="en-US" w:eastAsia="zh-CN"/>
        </w:rPr>
        <w:t>成交供应商向采购人</w:t>
      </w:r>
      <w:r>
        <w:rPr>
          <w:rFonts w:hint="default" w:ascii="Times New Roman" w:hAnsi="Times New Roman" w:eastAsia="方正仿宋_GB2312" w:cs="Times New Roman"/>
          <w:sz w:val="24"/>
          <w:szCs w:val="32"/>
          <w:lang w:val="en-US"/>
        </w:rPr>
        <w:t>申请</w:t>
      </w:r>
      <w:r>
        <w:rPr>
          <w:rFonts w:hint="default" w:ascii="Times New Roman" w:hAnsi="Times New Roman" w:eastAsia="方正仿宋_GB2312" w:cs="Times New Roman"/>
          <w:sz w:val="24"/>
          <w:szCs w:val="32"/>
        </w:rPr>
        <w:t>办理结算，结算完成后，</w:t>
      </w:r>
      <w:r>
        <w:rPr>
          <w:rFonts w:hint="default" w:ascii="Times New Roman" w:hAnsi="Times New Roman" w:eastAsia="方正仿宋_GB2312" w:cs="Times New Roman"/>
          <w:sz w:val="24"/>
          <w:szCs w:val="32"/>
          <w:lang w:val="en-US" w:eastAsia="zh-CN"/>
        </w:rPr>
        <w:t>权属方</w:t>
      </w:r>
      <w:r>
        <w:rPr>
          <w:rFonts w:hint="default" w:ascii="Times New Roman" w:hAnsi="Times New Roman" w:eastAsia="方正仿宋_GB2312" w:cs="Times New Roman"/>
          <w:sz w:val="24"/>
          <w:szCs w:val="32"/>
        </w:rPr>
        <w:t>向</w:t>
      </w:r>
      <w:r>
        <w:rPr>
          <w:rFonts w:hint="default" w:ascii="Times New Roman" w:hAnsi="Times New Roman" w:eastAsia="方正仿宋_GB2312" w:cs="Times New Roman"/>
          <w:sz w:val="24"/>
          <w:szCs w:val="32"/>
          <w:lang w:eastAsia="zh-CN"/>
        </w:rPr>
        <w:t>成交供应商</w:t>
      </w:r>
      <w:r>
        <w:rPr>
          <w:rFonts w:hint="default" w:ascii="Times New Roman" w:hAnsi="Times New Roman" w:eastAsia="方正仿宋_GB2312" w:cs="Times New Roman"/>
          <w:sz w:val="24"/>
          <w:szCs w:val="32"/>
        </w:rPr>
        <w:t>支付至结算价款的97％</w:t>
      </w:r>
      <w:r>
        <w:rPr>
          <w:rFonts w:hint="default"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剩余3％作为质保金，在质保期满后且已扣除涉及的违约金或赔偿金，</w:t>
      </w:r>
      <w:r>
        <w:rPr>
          <w:rFonts w:hint="default" w:ascii="Times New Roman" w:hAnsi="Times New Roman" w:eastAsia="方正仿宋_GB2312" w:cs="Times New Roman"/>
          <w:sz w:val="24"/>
          <w:szCs w:val="32"/>
          <w:lang w:val="en-US" w:eastAsia="zh-CN"/>
        </w:rPr>
        <w:t>权属方</w:t>
      </w:r>
      <w:r>
        <w:rPr>
          <w:rFonts w:hint="default" w:ascii="Times New Roman" w:hAnsi="Times New Roman" w:eastAsia="方正仿宋_GB2312" w:cs="Times New Roman"/>
          <w:sz w:val="24"/>
          <w:szCs w:val="32"/>
        </w:rPr>
        <w:t>一次性无息支付给</w:t>
      </w:r>
      <w:r>
        <w:rPr>
          <w:rFonts w:hint="default" w:ascii="Times New Roman" w:hAnsi="Times New Roman" w:eastAsia="方正仿宋_GB2312" w:cs="Times New Roman"/>
          <w:sz w:val="24"/>
          <w:szCs w:val="32"/>
          <w:lang w:eastAsia="zh-CN"/>
        </w:rPr>
        <w:t>成交供应商</w:t>
      </w:r>
      <w:r>
        <w:rPr>
          <w:rFonts w:hint="default" w:ascii="Times New Roman" w:hAnsi="Times New Roman" w:eastAsia="方正仿宋_GB2312" w:cs="Times New Roman"/>
          <w:sz w:val="24"/>
          <w:szCs w:val="32"/>
        </w:rPr>
        <w:t>。</w:t>
      </w:r>
      <w:r>
        <w:rPr>
          <w:rFonts w:hint="default" w:ascii="Times New Roman" w:hAnsi="Times New Roman" w:eastAsia="方正仿宋_GB2312" w:cs="Times New Roman"/>
          <w:sz w:val="24"/>
          <w:szCs w:val="32"/>
          <w:lang w:val="en-US" w:eastAsia="zh-CN"/>
        </w:rPr>
        <w:t>结算时，合同约定单价不作调整，实际结算数量以经各方确认的验收凭证为准。合同履行期间如遇国家税率调整，则维持不含税单价不变，按调整后的适用税率重新计算含税单价及结算总价。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（四）付款前供应商应当向采购人提供合法、有效的增值税发票，否则采购人有权不予付款且不承担任何责任，供应商仍应按本项目合同约定继续履行义务。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五）质保期：整件及所有零配件的质保期为货物制造或生产厂家规定的期限，同时不得低于全部货物最终验收合格后1年。质保期内，货物如有任何质量问题，成交供应商应于收到资产管理方通知24小时内上门进行维修、更换配件及维护，发生的全部费用均由成交供应商承担（在正常使用的情况下），若未在约定时间内提供质保服务的，成交供应商有权自行维修或聘请第三方维修，由此所产生的费用由成交供应商承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（六）质量要求：须按照本项目要求提供全新的货物（含零部件、配件等），货物应表面无划伤、无碰撞痕迹，且权属清楚，不得侵害他人的知识产权以及其他权属。</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技术、服务要求：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kern w:val="2"/>
          <w:sz w:val="24"/>
          <w:szCs w:val="32"/>
          <w:lang w:val="en-US" w:eastAsia="zh-CN" w:bidi="ar-SA"/>
        </w:rPr>
        <w:t>（一）</w:t>
      </w:r>
      <w:r>
        <w:rPr>
          <w:rFonts w:hint="default" w:ascii="Times New Roman" w:hAnsi="Times New Roman" w:eastAsia="方正仿宋_GB2312" w:cs="Times New Roman"/>
          <w:sz w:val="24"/>
          <w:szCs w:val="32"/>
        </w:rPr>
        <w:t>服务内容：</w:t>
      </w:r>
      <w:r>
        <w:rPr>
          <w:rFonts w:hint="eastAsia" w:ascii="Times New Roman" w:hAnsi="Times New Roman" w:eastAsia="方正仿宋_GB2312" w:cs="Times New Roman"/>
          <w:sz w:val="24"/>
          <w:szCs w:val="32"/>
          <w:lang w:val="en-US" w:eastAsia="zh-CN"/>
        </w:rPr>
        <w:t>成交供应商按采购人要求提供诺峰全剂型国际制剂中心项目消防系统零配件，具体详附件，并运输至指定地点安装调试并交付使用。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kern w:val="2"/>
          <w:sz w:val="24"/>
          <w:szCs w:val="32"/>
          <w:lang w:val="en-US" w:eastAsia="zh-CN" w:bidi="ar-SA"/>
        </w:rPr>
        <w:t>（二）服务</w:t>
      </w:r>
      <w:r>
        <w:rPr>
          <w:rFonts w:hint="default" w:ascii="Times New Roman" w:hAnsi="Times New Roman" w:eastAsia="方正仿宋_GB2312" w:cs="Times New Roman"/>
          <w:sz w:val="24"/>
          <w:szCs w:val="32"/>
        </w:rPr>
        <w:t>要求：货物的运输装卸及相关费用由</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负责。由</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负责安装、调试，确保</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正常使用</w:t>
      </w:r>
      <w:r>
        <w:rPr>
          <w:rFonts w:hint="default"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交货前发生的货物损伤及风险由</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承担。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kern w:val="2"/>
          <w:sz w:val="24"/>
          <w:szCs w:val="32"/>
          <w:lang w:val="en-US" w:eastAsia="zh-CN" w:bidi="ar-SA"/>
        </w:rPr>
        <w:t>（三）</w:t>
      </w:r>
      <w:r>
        <w:rPr>
          <w:rFonts w:hint="default" w:ascii="Times New Roman" w:hAnsi="Times New Roman" w:eastAsia="方正仿宋_GB2312" w:cs="Times New Roman"/>
          <w:sz w:val="24"/>
          <w:szCs w:val="32"/>
          <w:lang w:val="en-US" w:eastAsia="zh-CN"/>
        </w:rPr>
        <w:t>违约条款：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1.成交供应商应将所提供货物的配件、随机工具、用户使用手册、原厂保修卡等资料交付给采购人；成交供应商不能完整交付货物单证和工具的，必须负责补齐，否则视为未按约定交货</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kern w:val="2"/>
          <w:sz w:val="24"/>
          <w:szCs w:val="32"/>
          <w:lang w:val="en-US" w:eastAsia="zh-CN" w:bidi="ar-SA"/>
        </w:rPr>
        <w:t>2.</w:t>
      </w:r>
      <w:r>
        <w:rPr>
          <w:rFonts w:hint="default" w:ascii="Times New Roman" w:hAnsi="Times New Roman" w:eastAsia="方正仿宋_GB2312" w:cs="Times New Roman"/>
          <w:sz w:val="24"/>
          <w:szCs w:val="32"/>
          <w:lang w:val="en-US" w:eastAsia="zh-CN"/>
        </w:rPr>
        <w:t>成交供应商如无故延期交货或所交付货物不符合本项目合同约定的，每延迟一天，成交供应商应按签约合同总价的5%向权属方支付违约金；逾期超过十日的，权属方或资产管理方有权单方解除本项目合同，且成交供应商应退还权属方已经支付的全部款项，并按签约合同总价20％向权属方支付违约金，若给权属方/资产管理方造成损失的，成交供应商应赔偿由此给权属方/资产管理方造成的损失。</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cs="Times New Roman"/>
          <w:kern w:val="2"/>
          <w:sz w:val="21"/>
          <w:szCs w:val="24"/>
          <w:lang w:val="en-US" w:eastAsia="zh-CN" w:bidi="ar-SA"/>
        </w:rPr>
        <w:t>3.</w:t>
      </w:r>
      <w:r>
        <w:rPr>
          <w:rFonts w:hint="default" w:ascii="Times New Roman" w:hAnsi="Times New Roman" w:eastAsia="方正仿宋_GB2312" w:cs="Times New Roman"/>
          <w:sz w:val="24"/>
          <w:szCs w:val="32"/>
          <w:lang w:val="en-US" w:eastAsia="zh-CN"/>
        </w:rPr>
        <w:t>验收通过前，</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交付的货物因质量原因且不符合</w:t>
      </w:r>
      <w:r>
        <w:rPr>
          <w:rFonts w:hint="eastAsia" w:ascii="Times New Roman" w:hAnsi="Times New Roman" w:eastAsia="方正仿宋_GB2312" w:cs="Times New Roman"/>
          <w:sz w:val="24"/>
          <w:szCs w:val="32"/>
          <w:lang w:val="en-US" w:eastAsia="zh-CN"/>
        </w:rPr>
        <w:t>本项目合同</w:t>
      </w:r>
      <w:r>
        <w:rPr>
          <w:rFonts w:hint="default" w:ascii="Times New Roman" w:hAnsi="Times New Roman" w:eastAsia="方正仿宋_GB2312" w:cs="Times New Roman"/>
          <w:sz w:val="24"/>
          <w:szCs w:val="32"/>
          <w:lang w:val="en-US" w:eastAsia="zh-CN"/>
        </w:rPr>
        <w:t>约定的，</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须在</w:t>
      </w:r>
      <w:r>
        <w:rPr>
          <w:rFonts w:hint="eastAsia" w:ascii="Times New Roman" w:hAnsi="Times New Roman" w:eastAsia="方正仿宋_GB2312" w:cs="Times New Roman"/>
          <w:sz w:val="24"/>
          <w:szCs w:val="32"/>
          <w:lang w:val="en-US" w:eastAsia="zh-CN"/>
        </w:rPr>
        <w:t>采购人</w:t>
      </w:r>
      <w:r>
        <w:rPr>
          <w:rFonts w:hint="default" w:ascii="Times New Roman" w:hAnsi="Times New Roman" w:eastAsia="方正仿宋_GB2312" w:cs="Times New Roman"/>
          <w:sz w:val="24"/>
          <w:szCs w:val="32"/>
          <w:lang w:val="en-US" w:eastAsia="zh-CN"/>
        </w:rPr>
        <w:t>要求的合理时间内无条件更换合格的货物给</w:t>
      </w:r>
      <w:r>
        <w:rPr>
          <w:rFonts w:hint="eastAsia" w:ascii="Times New Roman" w:hAnsi="Times New Roman" w:eastAsia="方正仿宋_GB2312" w:cs="Times New Roman"/>
          <w:sz w:val="24"/>
          <w:szCs w:val="32"/>
          <w:lang w:val="en-US" w:eastAsia="zh-CN"/>
        </w:rPr>
        <w:t>采购人</w:t>
      </w:r>
      <w:r>
        <w:rPr>
          <w:rFonts w:hint="default" w:ascii="Times New Roman" w:hAnsi="Times New Roman" w:eastAsia="方正仿宋_GB2312" w:cs="Times New Roman"/>
          <w:sz w:val="24"/>
          <w:szCs w:val="32"/>
          <w:lang w:val="en-US" w:eastAsia="zh-CN"/>
        </w:rPr>
        <w:t>，经</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两次更换或维修仍不能达到</w:t>
      </w:r>
      <w:r>
        <w:rPr>
          <w:rFonts w:hint="eastAsia" w:ascii="Times New Roman" w:hAnsi="Times New Roman" w:eastAsia="方正仿宋_GB2312" w:cs="Times New Roman"/>
          <w:sz w:val="24"/>
          <w:szCs w:val="32"/>
          <w:lang w:val="en-US" w:eastAsia="zh-CN"/>
        </w:rPr>
        <w:t>本项目合同</w:t>
      </w:r>
      <w:r>
        <w:rPr>
          <w:rFonts w:hint="default" w:ascii="Times New Roman" w:hAnsi="Times New Roman" w:eastAsia="方正仿宋_GB2312" w:cs="Times New Roman"/>
          <w:sz w:val="24"/>
          <w:szCs w:val="32"/>
          <w:lang w:val="en-US" w:eastAsia="zh-CN"/>
        </w:rPr>
        <w:t>约定的，</w:t>
      </w:r>
      <w:r>
        <w:rPr>
          <w:rFonts w:hint="eastAsia" w:ascii="Times New Roman" w:hAnsi="Times New Roman" w:eastAsia="方正仿宋_GB2312" w:cs="Times New Roman"/>
          <w:sz w:val="24"/>
          <w:szCs w:val="32"/>
          <w:lang w:val="en-US" w:eastAsia="zh-CN"/>
        </w:rPr>
        <w:t>采购人</w:t>
      </w:r>
      <w:r>
        <w:rPr>
          <w:rFonts w:hint="default" w:ascii="Times New Roman" w:hAnsi="Times New Roman" w:eastAsia="方正仿宋_GB2312" w:cs="Times New Roman"/>
          <w:sz w:val="24"/>
          <w:szCs w:val="32"/>
          <w:lang w:val="en-US" w:eastAsia="zh-CN"/>
        </w:rPr>
        <w:t>有权退货，并视作</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不能交付货物而违约，若因此造成的任何人身、财产损害，</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应承担相应的一切责任，若造成</w:t>
      </w:r>
      <w:r>
        <w:rPr>
          <w:rFonts w:hint="eastAsia" w:ascii="Times New Roman" w:hAnsi="Times New Roman" w:eastAsia="方正仿宋_GB2312" w:cs="Times New Roman"/>
          <w:sz w:val="24"/>
          <w:szCs w:val="32"/>
          <w:lang w:val="en-US" w:eastAsia="zh-CN"/>
        </w:rPr>
        <w:t>权属方、资产管理方</w:t>
      </w:r>
      <w:r>
        <w:rPr>
          <w:rFonts w:hint="default" w:ascii="Times New Roman" w:hAnsi="Times New Roman" w:eastAsia="方正仿宋_GB2312" w:cs="Times New Roman"/>
          <w:sz w:val="24"/>
          <w:szCs w:val="32"/>
          <w:lang w:val="en-US" w:eastAsia="zh-CN"/>
        </w:rPr>
        <w:t>或任何第三方经济损失的，</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应赔偿由此给</w:t>
      </w:r>
      <w:r>
        <w:rPr>
          <w:rFonts w:hint="eastAsia" w:ascii="Times New Roman" w:hAnsi="Times New Roman" w:eastAsia="方正仿宋_GB2312" w:cs="Times New Roman"/>
          <w:sz w:val="24"/>
          <w:szCs w:val="32"/>
          <w:lang w:val="en-US" w:eastAsia="zh-CN"/>
        </w:rPr>
        <w:t>权属方、资产管理方</w:t>
      </w:r>
      <w:r>
        <w:rPr>
          <w:rFonts w:hint="default" w:ascii="Times New Roman" w:hAnsi="Times New Roman" w:eastAsia="方正仿宋_GB2312" w:cs="Times New Roman"/>
          <w:sz w:val="24"/>
          <w:szCs w:val="32"/>
          <w:lang w:val="en-US" w:eastAsia="zh-CN"/>
        </w:rPr>
        <w:t>或任何第三方造成的经济损失。</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4.</w:t>
      </w:r>
      <w:r>
        <w:rPr>
          <w:rFonts w:hint="default" w:ascii="Times New Roman" w:hAnsi="Times New Roman" w:eastAsia="方正仿宋_GB2312" w:cs="Times New Roman"/>
          <w:sz w:val="24"/>
          <w:szCs w:val="32"/>
          <w:lang w:val="en-US" w:eastAsia="zh-CN"/>
        </w:rPr>
        <w:t>验收如发生争议，由国家法定检验机构按检验标准和方法，对货物进行检验，检测费用由责任方承担。若经检验确认为成交供应商货物质量不符合本项目合同约定的标准，则视为成交供应商没有按时交货而违约，成交供应商须在30天内无条件更换合格的货物，如逾期不能更换合格的货物，权属方或资产管理方有权终止本项目合同，成交供应商应按签约合同总价的10%向权属方支付违约金。</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5.</w:t>
      </w:r>
      <w:r>
        <w:rPr>
          <w:rFonts w:hint="default" w:ascii="Times New Roman" w:hAnsi="Times New Roman" w:eastAsia="方正仿宋_GB2312" w:cs="Times New Roman"/>
          <w:sz w:val="24"/>
          <w:szCs w:val="32"/>
          <w:lang w:val="en-US" w:eastAsia="zh-CN"/>
        </w:rPr>
        <w:t>无论本项目合同履行期间或履行完毕后，成交供应商均须保证本项目合同货物的权利无瑕疵，包括货物所有权及知识产权等权利无瑕疵，不受到第三方关于侵犯设计、工艺、方案、技术资料、软件、商标、专利、外协产品等一切方面的指控。如任何第三方经法院（或仲裁机构）裁决有权对本项目合同采购的货物主张权利或国家机关依法对货物进行没收查处的，成交供应商除应向权属方返还已收款项外，还应另按签约合同总价的10%向权属方支付违约金并赔偿因此给权属方造成的一切直接经济损失。</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kern w:val="2"/>
          <w:sz w:val="24"/>
          <w:szCs w:val="32"/>
          <w:lang w:val="en-US" w:eastAsia="zh-CN" w:bidi="ar-SA"/>
        </w:rPr>
        <w:t>6</w:t>
      </w:r>
      <w:r>
        <w:rPr>
          <w:rFonts w:hint="default" w:ascii="Times New Roman" w:hAnsi="Times New Roman" w:eastAsia="方正仿宋_GB2312" w:cs="Times New Roman"/>
          <w:kern w:val="2"/>
          <w:sz w:val="24"/>
          <w:szCs w:val="32"/>
          <w:lang w:val="en-US" w:eastAsia="zh-CN" w:bidi="ar-SA"/>
        </w:rPr>
        <w:t>．</w:t>
      </w:r>
      <w:r>
        <w:rPr>
          <w:rFonts w:hint="default" w:ascii="Times New Roman" w:hAnsi="Times New Roman" w:eastAsia="方正仿宋_GB2312" w:cs="Times New Roman"/>
          <w:sz w:val="24"/>
          <w:szCs w:val="32"/>
          <w:lang w:val="en-US" w:eastAsia="zh-CN"/>
        </w:rPr>
        <w:t>质保期内，在接到</w:t>
      </w:r>
      <w:r>
        <w:rPr>
          <w:rFonts w:hint="eastAsia" w:ascii="Times New Roman" w:hAnsi="Times New Roman" w:eastAsia="方正仿宋_GB2312" w:cs="Times New Roman"/>
          <w:sz w:val="24"/>
          <w:szCs w:val="32"/>
          <w:lang w:val="en-US" w:eastAsia="zh-CN"/>
        </w:rPr>
        <w:t>采购人</w:t>
      </w:r>
      <w:r>
        <w:rPr>
          <w:rFonts w:hint="default" w:ascii="Times New Roman" w:hAnsi="Times New Roman" w:eastAsia="方正仿宋_GB2312" w:cs="Times New Roman"/>
          <w:sz w:val="24"/>
          <w:szCs w:val="32"/>
          <w:lang w:val="en-US" w:eastAsia="zh-CN"/>
        </w:rPr>
        <w:t>维修通知后24小时内，</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未派人到场维修的，</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以1000元/次向</w:t>
      </w:r>
      <w:r>
        <w:rPr>
          <w:rFonts w:hint="eastAsia" w:ascii="Times New Roman" w:hAnsi="Times New Roman" w:eastAsia="方正仿宋_GB2312" w:cs="Times New Roman"/>
          <w:sz w:val="24"/>
          <w:szCs w:val="32"/>
          <w:lang w:val="en-US" w:eastAsia="zh-CN"/>
        </w:rPr>
        <w:t>权属方</w:t>
      </w:r>
      <w:r>
        <w:rPr>
          <w:rFonts w:hint="default" w:ascii="Times New Roman" w:hAnsi="Times New Roman" w:eastAsia="方正仿宋_GB2312" w:cs="Times New Roman"/>
          <w:sz w:val="24"/>
          <w:szCs w:val="32"/>
          <w:lang w:val="en-US" w:eastAsia="zh-CN"/>
        </w:rPr>
        <w:t>支付违约金，若由此给</w:t>
      </w:r>
      <w:r>
        <w:rPr>
          <w:rFonts w:hint="eastAsia" w:ascii="Times New Roman" w:hAnsi="Times New Roman" w:eastAsia="方正仿宋_GB2312" w:cs="Times New Roman"/>
          <w:sz w:val="24"/>
          <w:szCs w:val="32"/>
          <w:lang w:val="en-US" w:eastAsia="zh-CN"/>
        </w:rPr>
        <w:t>权属方或资产管理方</w:t>
      </w:r>
      <w:r>
        <w:rPr>
          <w:rFonts w:hint="default" w:ascii="Times New Roman" w:hAnsi="Times New Roman" w:eastAsia="方正仿宋_GB2312" w:cs="Times New Roman"/>
          <w:sz w:val="24"/>
          <w:szCs w:val="32"/>
          <w:lang w:val="en-US" w:eastAsia="zh-CN"/>
        </w:rPr>
        <w:t>造成损失的，</w:t>
      </w:r>
      <w:r>
        <w:rPr>
          <w:rFonts w:hint="eastAsia" w:ascii="Times New Roman" w:hAnsi="Times New Roman" w:eastAsia="方正仿宋_GB2312" w:cs="Times New Roman"/>
          <w:sz w:val="24"/>
          <w:szCs w:val="32"/>
          <w:lang w:val="en-US" w:eastAsia="zh-CN"/>
        </w:rPr>
        <w:t>成交供应商</w:t>
      </w:r>
      <w:r>
        <w:rPr>
          <w:rFonts w:hint="default" w:ascii="Times New Roman" w:hAnsi="Times New Roman" w:eastAsia="方正仿宋_GB2312" w:cs="Times New Roman"/>
          <w:sz w:val="24"/>
          <w:szCs w:val="32"/>
          <w:lang w:val="en-US" w:eastAsia="zh-CN"/>
        </w:rPr>
        <w:t>应赔偿由此给</w:t>
      </w:r>
      <w:r>
        <w:rPr>
          <w:rFonts w:hint="eastAsia" w:ascii="Times New Roman" w:hAnsi="Times New Roman" w:eastAsia="方正仿宋_GB2312" w:cs="Times New Roman"/>
          <w:sz w:val="24"/>
          <w:szCs w:val="32"/>
          <w:lang w:val="en-US" w:eastAsia="zh-CN"/>
        </w:rPr>
        <w:t>权属方或资产管理方</w:t>
      </w:r>
      <w:r>
        <w:rPr>
          <w:rFonts w:hint="default" w:ascii="Times New Roman" w:hAnsi="Times New Roman" w:eastAsia="方正仿宋_GB2312" w:cs="Times New Roman"/>
          <w:sz w:val="24"/>
          <w:szCs w:val="32"/>
          <w:lang w:val="en-US" w:eastAsia="zh-CN"/>
        </w:rPr>
        <w:t>造成的经济损失。</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7.</w:t>
      </w:r>
      <w:r>
        <w:rPr>
          <w:rFonts w:hint="default" w:ascii="Times New Roman" w:hAnsi="Times New Roman" w:eastAsia="方正仿宋_GB2312" w:cs="Times New Roman"/>
          <w:sz w:val="24"/>
          <w:szCs w:val="32"/>
          <w:lang w:val="en-US" w:eastAsia="zh-CN"/>
        </w:rPr>
        <w:t>本项目合同签订后，成交供应商如拒绝供货或单方面终止本项目合同，成交供应商须无条件退还权属方已支付的全部款项，同时成交供应商应按签约合同总价的20％向权属方支付违约金，若给权属方或资产管理方人造成损失的，成交供应商应赔偿由此给权属方或资产管理方造成的经济损失</w:t>
      </w:r>
      <w:r>
        <w:rPr>
          <w:rFonts w:hint="eastAsia" w:ascii="Times New Roman" w:hAnsi="Times New Roman" w:eastAsia="方正仿宋_GB2312" w:cs="Times New Roman"/>
          <w:sz w:val="24"/>
          <w:szCs w:val="32"/>
          <w:lang w:val="en-US"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lang w:val="en-US" w:eastAsia="zh-CN"/>
        </w:rPr>
      </w:pPr>
      <w:r>
        <w:rPr>
          <w:rFonts w:hint="eastAsia" w:ascii="Times New Roman" w:hAnsi="Times New Roman" w:eastAsia="方正仿宋_GB2312" w:cs="Times New Roman"/>
          <w:sz w:val="24"/>
          <w:szCs w:val="32"/>
          <w:lang w:val="en-US" w:eastAsia="zh-CN"/>
        </w:rPr>
        <w:t>8.</w:t>
      </w:r>
      <w:r>
        <w:rPr>
          <w:rFonts w:hint="default" w:ascii="Times New Roman" w:hAnsi="Times New Roman" w:eastAsia="方正仿宋_GB2312" w:cs="Times New Roman"/>
          <w:sz w:val="24"/>
          <w:szCs w:val="32"/>
          <w:lang w:val="en-US" w:eastAsia="zh-CN"/>
        </w:rPr>
        <w:t>如因成交供应商违约导致权属方或资产管理方单方面行使本项目合同解除权，则权属方未支付的费用均不再支付，已支付的费用成交供应商应在权属方行使合同解除权后10日内全额退还，合同约定的违约金不足以弥补权属方损失（包括但不限于直接经济损失以及为维权而产生的诉讼费、律师费、鉴定费、评估费、公证费、差旅费、保全费、保全担保费等）的，成交供应商还应就不足的部分继续承担赔偿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kern w:val="2"/>
          <w:sz w:val="24"/>
          <w:szCs w:val="32"/>
          <w:lang w:val="en-US" w:eastAsia="zh-CN" w:bidi="ar-SA"/>
        </w:rPr>
        <w:t>（四）</w:t>
      </w:r>
      <w:r>
        <w:rPr>
          <w:rFonts w:hint="default" w:ascii="Times New Roman" w:hAnsi="Times New Roman" w:eastAsia="方正仿宋_GB2312" w:cs="Times New Roman"/>
          <w:sz w:val="24"/>
          <w:szCs w:val="32"/>
          <w:lang w:val="en-US" w:eastAsia="zh-CN"/>
        </w:rPr>
        <w:t>保密义务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1.</w:t>
      </w:r>
      <w:r>
        <w:rPr>
          <w:rFonts w:hint="default" w:ascii="Times New Roman" w:hAnsi="Times New Roman" w:eastAsia="仿宋" w:cs="Times New Roman"/>
          <w:sz w:val="24"/>
          <w:highlight w:val="none"/>
        </w:rPr>
        <w:t>双方承诺对履行合同所提供的资料及其它保密信息负有保密的义务，保密信息是指合同一方从合同另一方接收该信息之前或之后，尚未由对方对外公开的信息，或由对方指定为保密或专有的信息。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2.</w:t>
      </w:r>
      <w:r>
        <w:rPr>
          <w:rFonts w:hint="default" w:ascii="Times New Roman" w:hAnsi="Times New Roman" w:eastAsia="仿宋" w:cs="Times New Roman"/>
          <w:sz w:val="24"/>
          <w:highlight w:val="none"/>
        </w:rPr>
        <w:t>合同任何一方应当确保保密信息一直处于保密之中，应当采取一切合理的措施以使其所接受的资料及保密信息免于散发、传播、披露、复制、滥用及被无关人员接触。未经一方书面授权，合同另一方不得公开使用该保密信息，不得用于本合同之外的任何用途，也不得复印、出版或以任何形式披露给任何其他第三方该保密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3.</w:t>
      </w:r>
      <w:r>
        <w:rPr>
          <w:rFonts w:hint="default" w:ascii="Times New Roman" w:hAnsi="Times New Roman" w:eastAsia="仿宋" w:cs="Times New Roman"/>
          <w:sz w:val="24"/>
          <w:highlight w:val="none"/>
        </w:rPr>
        <w:t>双方在合同项下之保密义务，不因合同履行完毕而终止。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4.</w:t>
      </w:r>
      <w:r>
        <w:rPr>
          <w:rFonts w:hint="default" w:ascii="Times New Roman" w:hAnsi="Times New Roman" w:eastAsia="仿宋" w:cs="Times New Roman"/>
          <w:sz w:val="24"/>
          <w:highlight w:val="none"/>
        </w:rPr>
        <w:t>若供应商违反保密要求，采购人有权单方解除合同、拒绝支付未付费用，并要求供应商赔偿全部直接及间接损失（包括但不限于诉讼费、律师费、调查费、声誉损失等）。同时，采购人有权将供应商列入不良行为名单</w:t>
      </w:r>
      <w:r>
        <w:rPr>
          <w:rFonts w:hint="default" w:ascii="Times New Roman" w:hAnsi="Times New Roman" w:eastAsia="仿宋" w:cs="Times New Roman"/>
          <w:sz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（五）</w:t>
      </w:r>
      <w:r>
        <w:rPr>
          <w:rFonts w:hint="default" w:ascii="Times New Roman" w:hAnsi="Times New Roman" w:eastAsia="仿宋" w:cs="Times New Roman"/>
          <w:sz w:val="24"/>
          <w:highlight w:val="none"/>
        </w:rPr>
        <w:t>知识产权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1.</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应保证提供服务过程中以及提交的服务成果及其包含的任何素材等不会侵犯任何第三方的知识产权及其他权利。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2.</w:t>
      </w:r>
      <w:r>
        <w:rPr>
          <w:rFonts w:hint="default" w:ascii="Times New Roman" w:hAnsi="Times New Roman" w:eastAsia="仿宋" w:cs="Times New Roman"/>
          <w:sz w:val="24"/>
          <w:highlight w:val="none"/>
        </w:rPr>
        <w:t>若第三方认为合同涉及的服务或</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提交的服务成果侵犯其知识产权或其他权利，并向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提出索赔要求，</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将不承担任何责任，所有责任由</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承担，若</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因此担责，有权全额向</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 xml:space="preserve">追偿。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3.</w:t>
      </w:r>
      <w:r>
        <w:rPr>
          <w:rFonts w:hint="default" w:ascii="Times New Roman" w:hAnsi="Times New Roman" w:eastAsia="仿宋" w:cs="Times New Roman"/>
          <w:sz w:val="24"/>
          <w:highlight w:val="none"/>
        </w:rPr>
        <w:t>在前款所述情况下，</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在承担责任的同时，应立即采取补救措施，包括但不限于重新向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提交所有服务成果，返还</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已支付的所有费用及其同期人民银行存款利息。同时</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还应向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赔偿因其侵权行为而给</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造成的所有损失。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eastAsia" w:ascii="Times New Roman" w:hAnsi="Times New Roman" w:eastAsia="仿宋" w:cs="Times New Roman"/>
          <w:kern w:val="2"/>
          <w:sz w:val="24"/>
          <w:szCs w:val="24"/>
          <w:lang w:val="en-US" w:eastAsia="zh-CN" w:bidi="ar-SA"/>
        </w:rPr>
        <w:t>4.</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按约定支付合同价款后，</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拥有</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所提交服务成果的所有权及完整知识产权。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highlight w:val="none"/>
          <w:lang w:eastAsia="zh-CN"/>
        </w:rPr>
      </w:pPr>
      <w:r>
        <w:rPr>
          <w:rFonts w:hint="eastAsia" w:ascii="Times New Roman" w:hAnsi="Times New Roman" w:eastAsia="仿宋" w:cs="Times New Roman"/>
          <w:kern w:val="2"/>
          <w:sz w:val="21"/>
          <w:szCs w:val="24"/>
          <w:lang w:val="en-US" w:eastAsia="zh-CN" w:bidi="ar-SA"/>
        </w:rPr>
        <w:t>5.</w:t>
      </w:r>
      <w:r>
        <w:rPr>
          <w:rFonts w:hint="default" w:ascii="Times New Roman" w:hAnsi="Times New Roman" w:eastAsia="仿宋" w:cs="Times New Roman"/>
          <w:sz w:val="24"/>
          <w:highlight w:val="none"/>
          <w:lang w:val="en-US" w:eastAsia="zh-CN"/>
        </w:rPr>
        <w:t>上述约定</w:t>
      </w:r>
      <w:r>
        <w:rPr>
          <w:rFonts w:hint="default" w:ascii="Times New Roman" w:hAnsi="Times New Roman" w:eastAsia="仿宋" w:cs="Times New Roman"/>
          <w:sz w:val="24"/>
          <w:highlight w:val="none"/>
        </w:rPr>
        <w:t>在</w:t>
      </w:r>
      <w:r>
        <w:rPr>
          <w:rFonts w:hint="eastAsia" w:ascii="Times New Roman" w:hAnsi="Times New Roman" w:eastAsia="仿宋" w:cs="Times New Roman"/>
          <w:sz w:val="24"/>
          <w:highlight w:val="none"/>
          <w:lang w:val="en-US" w:eastAsia="zh-CN"/>
        </w:rPr>
        <w:t>本项目</w:t>
      </w:r>
      <w:r>
        <w:rPr>
          <w:rFonts w:hint="default" w:ascii="Times New Roman" w:hAnsi="Times New Roman" w:eastAsia="仿宋" w:cs="Times New Roman"/>
          <w:sz w:val="24"/>
          <w:highlight w:val="none"/>
        </w:rPr>
        <w:t>合同无论因任何原因终止后依然有效。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color w:val="auto"/>
          <w:sz w:val="28"/>
          <w:szCs w:val="28"/>
          <w:highlight w:val="none"/>
        </w:rPr>
      </w:pPr>
    </w:p>
    <w:tbl>
      <w:tblPr>
        <w:tblStyle w:val="8"/>
        <w:tblW w:w="10500" w:type="dxa"/>
        <w:tblInd w:w="-4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0"/>
        <w:gridCol w:w="2005"/>
        <w:gridCol w:w="2217"/>
        <w:gridCol w:w="1051"/>
        <w:gridCol w:w="776"/>
        <w:gridCol w:w="1633"/>
        <w:gridCol w:w="1261"/>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10500" w:type="dxa"/>
            <w:gridSpan w:val="8"/>
            <w:tcBorders>
              <w:top w:val="nil"/>
              <w:left w:val="nil"/>
              <w:bottom w:val="nil"/>
              <w:right w:val="nil"/>
            </w:tcBorders>
            <w:shd w:val="clear" w:color="auto" w:fill="auto"/>
            <w:vAlign w:val="top"/>
          </w:tcPr>
          <w:p>
            <w:pPr>
              <w:keepNext w:val="0"/>
              <w:keepLines w:val="0"/>
              <w:widowControl/>
              <w:suppressLineNumbers w:val="0"/>
              <w:jc w:val="center"/>
              <w:textAlignment w:val="top"/>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4"/>
                <w:szCs w:val="24"/>
                <w:u w:val="none"/>
                <w:lang w:val="en-US" w:eastAsia="zh-CN" w:bidi="ar"/>
              </w:rPr>
              <w:t>诺峰全剂型国际制剂中心项目消防系统零配件采购清单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设备名称</w:t>
            </w:r>
          </w:p>
        </w:tc>
        <w:tc>
          <w:tcPr>
            <w:tcW w:w="221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Style w:val="10"/>
                <w:rFonts w:hint="eastAsia" w:ascii="仿宋" w:hAnsi="仿宋" w:eastAsia="仿宋" w:cs="仿宋"/>
                <w:lang w:val="en-US" w:eastAsia="zh-CN" w:bidi="ar"/>
              </w:rPr>
              <w:t>计量单位</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Style w:val="10"/>
                <w:rFonts w:hint="eastAsia" w:ascii="仿宋" w:hAnsi="仿宋" w:eastAsia="仿宋" w:cs="仿宋"/>
                <w:lang w:val="en-US" w:eastAsia="zh-CN" w:bidi="ar"/>
              </w:rPr>
              <w:t>数量</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Style w:val="10"/>
                <w:rFonts w:hint="eastAsia" w:ascii="仿宋" w:hAnsi="仿宋" w:eastAsia="仿宋" w:cs="仿宋"/>
                <w:lang w:val="en-US" w:eastAsia="zh-CN" w:bidi="ar"/>
              </w:rPr>
              <w:t>单价限价/元</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Style w:val="10"/>
                <w:rFonts w:hint="eastAsia" w:ascii="仿宋" w:hAnsi="仿宋" w:eastAsia="仿宋" w:cs="仿宋"/>
                <w:lang w:val="en-US" w:eastAsia="zh-CN" w:bidi="ar"/>
              </w:rPr>
              <w:t>总价限价/元</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Style w:val="10"/>
                <w:rFonts w:hint="eastAsia" w:ascii="仿宋" w:hAnsi="仿宋" w:eastAsia="仿宋" w:cs="仿宋"/>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1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电源盘</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AFN-FD30A</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2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ascii="Times New Roman" w:hAnsi="Times New Roman" w:eastAsia="宋体" w:cs="Times New Roman"/>
                <w:i w:val="0"/>
                <w:iCs w:val="0"/>
                <w:color w:val="000000"/>
                <w:kern w:val="0"/>
                <w:sz w:val="22"/>
                <w:szCs w:val="22"/>
                <w:u w:val="none"/>
                <w:lang w:val="en-US" w:eastAsia="zh-CN" w:bidi="ar"/>
              </w:rPr>
              <w:t xml:space="preserve">4520.00 </w:t>
            </w:r>
          </w:p>
        </w:tc>
        <w:tc>
          <w:tcPr>
            <w:tcW w:w="1261"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lang w:val="en-US"/>
              </w:rPr>
            </w:pPr>
            <w:r>
              <w:rPr>
                <w:rFonts w:hint="eastAsia" w:ascii="Times New Roman" w:hAnsi="Times New Roman" w:eastAsia="仿宋" w:cs="Times New Roman"/>
                <w:i w:val="0"/>
                <w:iCs w:val="0"/>
                <w:color w:val="000000"/>
                <w:kern w:val="0"/>
                <w:sz w:val="22"/>
                <w:szCs w:val="22"/>
                <w:u w:val="none"/>
                <w:lang w:val="en-US" w:eastAsia="zh-CN" w:bidi="ar"/>
              </w:rPr>
              <w:t>69701.80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2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功率放大器</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GB9242/500W</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3310.90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3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JP12-17(12V17AH)</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914.00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4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DJM12100S</w:t>
            </w:r>
            <w:r>
              <w:rPr>
                <w:rStyle w:val="11"/>
                <w:rFonts w:hint="default" w:ascii="Times New Roman" w:hAnsi="Times New Roman" w:eastAsia="仿宋" w:cs="Times New Roman"/>
                <w:sz w:val="20"/>
                <w:szCs w:val="20"/>
                <w:lang w:val="en-US" w:eastAsia="zh-CN" w:bidi="ar"/>
              </w:rPr>
              <w:br w:type="textWrapping"/>
            </w:r>
            <w:r>
              <w:rPr>
                <w:rStyle w:val="11"/>
                <w:rFonts w:hint="default" w:ascii="Times New Roman" w:hAnsi="Times New Roman" w:eastAsia="仿宋" w:cs="Times New Roman"/>
                <w:sz w:val="20"/>
                <w:szCs w:val="20"/>
                <w:lang w:val="en-US" w:eastAsia="zh-CN" w:bidi="ar"/>
              </w:rPr>
              <w:t>(12V100Ah,20hr)</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1138.00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5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回路板</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FS5050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2180.00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6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多线盘</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FS5116D</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2142.00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7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电气火灾监控主机</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TE3001D</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6328.00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8 </w:t>
            </w:r>
          </w:p>
        </w:tc>
        <w:tc>
          <w:tcPr>
            <w:tcW w:w="20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终端检测设备</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FS2613AVC</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452.00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9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防火门监控器</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SA-DC03A</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3390.00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10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消火栓</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SS100/65</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1130.00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11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气体灭火主机电池</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JP12-7(12VAH)</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1808.00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12 </w:t>
            </w:r>
          </w:p>
        </w:tc>
        <w:tc>
          <w:tcPr>
            <w:tcW w:w="200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应急柜</w:t>
            </w:r>
          </w:p>
        </w:tc>
        <w:tc>
          <w:tcPr>
            <w:tcW w:w="221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HP-PD-1KVA-36B</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6780.00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 xml:space="preserve">13 </w:t>
            </w:r>
          </w:p>
        </w:tc>
        <w:tc>
          <w:tcPr>
            <w:tcW w:w="2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补水阀</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Style w:val="11"/>
                <w:rFonts w:hint="default" w:ascii="Times New Roman" w:hAnsi="Times New Roman" w:eastAsia="仿宋" w:cs="Times New Roman"/>
                <w:sz w:val="20"/>
                <w:szCs w:val="20"/>
                <w:lang w:val="en-US" w:eastAsia="zh-CN" w:bidi="ar"/>
              </w:rPr>
              <w:t>100X-16dn100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0"/>
                <w:szCs w:val="20"/>
                <w:u w:val="none"/>
              </w:rPr>
            </w:pPr>
            <w:r>
              <w:rPr>
                <w:rFonts w:hint="default" w:ascii="Times New Roman" w:hAnsi="Times New Roman" w:eastAsia="仿宋" w:cs="Times New Roman"/>
                <w:i w:val="0"/>
                <w:iCs w:val="0"/>
                <w:color w:val="000000"/>
                <w:kern w:val="0"/>
                <w:sz w:val="20"/>
                <w:szCs w:val="20"/>
                <w:u w:val="none"/>
                <w:lang w:val="en-US" w:eastAsia="zh-CN" w:bidi="ar"/>
              </w:rPr>
              <w:t>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678.00 </w:t>
            </w:r>
          </w:p>
        </w:tc>
        <w:tc>
          <w:tcPr>
            <w:tcW w:w="126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u w:val="none"/>
                <w:lang w:val="en-US" w:eastAsia="zh-CN" w:bidi="ar"/>
              </w:rPr>
            </w:pPr>
            <w:r>
              <w:rPr>
                <w:rFonts w:hint="eastAsia" w:ascii="Times New Roman" w:hAnsi="Times New Roman" w:eastAsia="仿宋" w:cs="Times New Roman"/>
                <w:i w:val="0"/>
                <w:iCs w:val="0"/>
                <w:color w:val="000000"/>
                <w:kern w:val="0"/>
                <w:sz w:val="20"/>
                <w:szCs w:val="20"/>
                <w:u w:val="none"/>
                <w:lang w:val="en-US" w:eastAsia="zh-CN" w:bidi="ar"/>
              </w:rPr>
              <w:t>14</w:t>
            </w:r>
          </w:p>
        </w:tc>
        <w:tc>
          <w:tcPr>
            <w:tcW w:w="768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u w:val="none"/>
                <w:lang w:val="en-US" w:eastAsia="zh-CN" w:bidi="ar"/>
              </w:rPr>
            </w:pPr>
            <w:r>
              <w:rPr>
                <w:rFonts w:hint="default" w:ascii="Times New Roman" w:hAnsi="Times New Roman" w:eastAsia="仿宋" w:cs="Times New Roman"/>
                <w:i w:val="0"/>
                <w:iCs w:val="0"/>
                <w:color w:val="000000"/>
                <w:kern w:val="0"/>
                <w:sz w:val="22"/>
                <w:szCs w:val="22"/>
                <w:u w:val="none"/>
                <w:lang w:val="en-US" w:eastAsia="zh-CN" w:bidi="ar"/>
              </w:rPr>
              <w:t>合计金额（含税）：</w:t>
            </w:r>
          </w:p>
        </w:tc>
        <w:tc>
          <w:tcPr>
            <w:tcW w:w="1261" w:type="dxa"/>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仿宋" w:hAnsi="仿宋" w:eastAsia="仿宋" w:cs="仿宋"/>
                <w:i w:val="0"/>
                <w:iCs w:val="0"/>
                <w:color w:val="000000"/>
                <w:sz w:val="22"/>
                <w:szCs w:val="22"/>
                <w:u w:val="none"/>
              </w:rPr>
            </w:pPr>
            <w:r>
              <w:rPr>
                <w:rFonts w:hint="eastAsia" w:ascii="Times New Roman" w:hAnsi="Times New Roman" w:eastAsia="仿宋" w:cs="Times New Roman"/>
                <w:i w:val="0"/>
                <w:iCs w:val="0"/>
                <w:color w:val="000000"/>
                <w:kern w:val="0"/>
                <w:sz w:val="22"/>
                <w:szCs w:val="22"/>
                <w:u w:val="none"/>
                <w:lang w:val="en-US" w:eastAsia="zh-CN" w:bidi="ar"/>
              </w:rPr>
              <w:t>69701.80</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color w:val="auto"/>
          <w:sz w:val="28"/>
          <w:szCs w:val="28"/>
          <w:highlight w:val="none"/>
        </w:rPr>
      </w:pPr>
    </w:p>
    <w:p>
      <w:pPr>
        <w:spacing w:line="360" w:lineRule="auto"/>
        <w:rPr>
          <w:rFonts w:ascii="Times New Roman" w:hAnsi="Times New Roman" w:eastAsia="仿宋" w:cs="Times New Roman"/>
          <w:sz w:val="32"/>
          <w:szCs w:val="40"/>
          <w:highlight w:val="none"/>
        </w:rPr>
      </w:pPr>
      <w:r>
        <w:rPr>
          <w:rFonts w:ascii="Times New Roman" w:hAnsi="Times New Roman" w:eastAsia="仿宋" w:cs="Times New Roman"/>
          <w:sz w:val="32"/>
          <w:szCs w:val="40"/>
          <w:highlight w:val="none"/>
        </w:rPr>
        <w:t>附件</w:t>
      </w:r>
      <w:r>
        <w:rPr>
          <w:rFonts w:hint="default" w:ascii="Times New Roman" w:hAnsi="Times New Roman" w:eastAsia="仿宋" w:cs="Times New Roman"/>
          <w:sz w:val="32"/>
          <w:szCs w:val="40"/>
          <w:highlight w:val="none"/>
          <w:lang w:val="en-US" w:eastAsia="zh-CN"/>
        </w:rPr>
        <w:t>2</w:t>
      </w:r>
      <w:r>
        <w:rPr>
          <w:rFonts w:ascii="Times New Roman" w:hAnsi="Times New Roman" w:eastAsia="仿宋" w:cs="Times New Roman"/>
          <w:sz w:val="32"/>
          <w:szCs w:val="40"/>
          <w:highlight w:val="none"/>
        </w:rPr>
        <w:t>：</w:t>
      </w:r>
      <w:r>
        <w:rPr>
          <w:rFonts w:hint="default" w:ascii="Times New Roman" w:hAnsi="Times New Roman" w:eastAsia="仿宋" w:cs="Times New Roman"/>
          <w:sz w:val="32"/>
          <w:szCs w:val="40"/>
          <w:highlight w:val="none"/>
        </w:rPr>
        <w:t>比价规则</w:t>
      </w:r>
    </w:p>
    <w:p>
      <w:pPr>
        <w:numPr>
          <w:ilvl w:val="-1"/>
          <w:numId w:val="0"/>
        </w:numPr>
        <w:spacing w:line="36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在满足采购需求、质量、服务等实质性要求的前提下，以有效报价最低的供应商为成交单位。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p>
    <w:p>
      <w:pPr>
        <w:numPr>
          <w:ilvl w:val="-1"/>
          <w:numId w:val="0"/>
        </w:numPr>
        <w:spacing w:line="240" w:lineRule="auto"/>
        <w:rPr>
          <w:rFonts w:ascii="Times New Roman" w:hAnsi="Times New Roman" w:cs="Times New Roman"/>
          <w:highlight w:val="none"/>
        </w:rPr>
      </w:pPr>
      <w:r>
        <w:rPr>
          <w:rFonts w:hint="default" w:ascii="Times New Roman" w:hAnsi="Times New Roman" w:eastAsia="仿宋" w:cs="Times New Roman"/>
          <w:color w:val="000000" w:themeColor="text1"/>
          <w:sz w:val="24"/>
          <w:highlight w:val="none"/>
          <w14:textFill>
            <w14:solidFill>
              <w14:schemeClr w14:val="tx1"/>
            </w14:solidFill>
          </w14:textFill>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kern w:val="2"/>
          <w:sz w:val="32"/>
          <w:szCs w:val="40"/>
          <w:lang w:val="en-US" w:eastAsia="zh-CN" w:bidi="ar-SA"/>
        </w:rPr>
        <w:t>附件</w:t>
      </w:r>
      <w:r>
        <w:rPr>
          <w:rFonts w:hint="eastAsia" w:ascii="Times New Roman" w:hAnsi="Times New Roman" w:eastAsia="仿宋" w:cs="Times New Roman"/>
          <w:b w:val="0"/>
          <w:bCs w:val="0"/>
          <w:kern w:val="2"/>
          <w:sz w:val="32"/>
          <w:szCs w:val="40"/>
          <w:lang w:val="en-US" w:eastAsia="zh-CN" w:bidi="ar-SA"/>
        </w:rPr>
        <w:t>3</w:t>
      </w:r>
      <w:r>
        <w:rPr>
          <w:rFonts w:hint="default" w:ascii="Times New Roman" w:hAnsi="Times New Roman" w:eastAsia="仿宋" w:cs="Times New Roman"/>
          <w:b w:val="0"/>
          <w:bCs w:val="0"/>
          <w:kern w:val="2"/>
          <w:sz w:val="32"/>
          <w:szCs w:val="40"/>
          <w:lang w:val="en-US" w:eastAsia="zh-CN" w:bidi="ar-SA"/>
        </w:rPr>
        <w:t>：报价文件格式</w:t>
      </w:r>
    </w:p>
    <w:p>
      <w:pPr>
        <w:keepNext w:val="0"/>
        <w:keepLines w:val="0"/>
        <w:pageBreakBefore w:val="0"/>
        <w:widowControl w:val="0"/>
        <w:kinsoku/>
        <w:overflowPunct/>
        <w:topLinePunct w:val="0"/>
        <w:bidi w:val="0"/>
        <w:jc w:val="center"/>
        <w:textAlignment w:val="auto"/>
        <w:rPr>
          <w:rFonts w:hint="default" w:ascii="Times New Roman" w:hAnsi="Times New Roman" w:cs="Times New Roman"/>
          <w:b/>
          <w:bCs/>
          <w:sz w:val="32"/>
          <w:szCs w:val="40"/>
          <w:highlight w:val="none"/>
          <w:lang w:val="en-US" w:eastAsia="zh-CN"/>
        </w:rPr>
      </w:pPr>
      <w:r>
        <w:rPr>
          <w:rFonts w:hint="default" w:ascii="Times New Roman" w:hAnsi="Times New Roman" w:eastAsia="仿宋" w:cs="Times New Roman"/>
          <w:b/>
          <w:bCs/>
          <w:color w:val="auto"/>
          <w:kern w:val="2"/>
          <w:sz w:val="28"/>
          <w:szCs w:val="28"/>
          <w:highlight w:val="none"/>
          <w:lang w:val="en-US" w:eastAsia="zh-CN" w:bidi="ar-SA"/>
        </w:rPr>
        <w:t>一、报价函</w:t>
      </w:r>
    </w:p>
    <w:p>
      <w:pPr>
        <w:keepNext w:val="0"/>
        <w:keepLines w:val="0"/>
        <w:pageBreakBefore w:val="0"/>
        <w:widowControl w:val="0"/>
        <w:kinsoku/>
        <w:wordWrap/>
        <w:overflowPunct/>
        <w:topLinePunct w:val="0"/>
        <w:autoSpaceDE/>
        <w:autoSpaceDN/>
        <w:bidi w:val="0"/>
        <w:adjustRightInd w:val="0"/>
        <w:snapToGrid/>
        <w:spacing w:line="580" w:lineRule="exact"/>
        <w:ind w:left="0" w:firstLine="480" w:firstLineChars="200"/>
        <w:jc w:val="left"/>
        <w:textAlignment w:val="auto"/>
        <w:rPr>
          <w:rFonts w:hint="default" w:ascii="Times New Roman" w:hAnsi="Times New Roman" w:eastAsia="仿宋" w:cs="Times New Roman"/>
          <w:color w:val="000000" w:themeColor="text1"/>
          <w:sz w:val="24"/>
          <w:szCs w:val="24"/>
          <w:highlight w:val="none"/>
          <w14:textFill>
            <w14:solidFill>
              <w14:schemeClr w14:val="tx1"/>
            </w14:solidFill>
          </w14:textFill>
        </w:rPr>
      </w:pPr>
      <w:bookmarkStart w:id="0" w:name="_Toc388973893"/>
      <w:bookmarkStart w:id="1" w:name="_Toc391712470"/>
      <w:bookmarkStart w:id="2" w:name="_Toc301432628"/>
      <w:r>
        <w:rPr>
          <w:rFonts w:hint="default" w:ascii="Times New Roman" w:hAnsi="Times New Roman" w:eastAsia="仿宋" w:cs="Times New Roman"/>
          <w:color w:val="000000" w:themeColor="text1"/>
          <w:sz w:val="24"/>
          <w:szCs w:val="24"/>
          <w:highlight w:val="none"/>
          <w14:textFill>
            <w14:solidFill>
              <w14:schemeClr w14:val="tx1"/>
            </w14:solidFill>
          </w14:textFill>
        </w:rPr>
        <w:t>致：</w:t>
      </w:r>
      <w:r>
        <w:rPr>
          <w:rFonts w:hint="default" w:ascii="Times New Roman" w:hAnsi="Times New Roman" w:eastAsia="仿宋" w:cs="Times New Roman"/>
          <w:color w:val="000000" w:themeColor="text1"/>
          <w:sz w:val="24"/>
          <w:szCs w:val="24"/>
          <w:highlight w:val="none"/>
          <w:u w:val="single"/>
          <w:lang w:eastAsia="zh-CN"/>
          <w14:textFill>
            <w14:solidFill>
              <w14:schemeClr w14:val="tx1"/>
            </w14:solidFill>
          </w14:textFill>
        </w:rPr>
        <w:t xml:space="preserve">               </w:t>
      </w:r>
      <w:r>
        <w:rPr>
          <w:rFonts w:hint="default" w:ascii="Times New Roman" w:hAnsi="Times New Roman" w:eastAsia="仿宋"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项目业主</w:t>
      </w:r>
      <w:r>
        <w:rPr>
          <w:rFonts w:hint="default" w:ascii="Times New Roman" w:hAnsi="Times New Roman" w:eastAsia="仿宋"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仿宋" w:cs="Times New Roman"/>
          <w:color w:val="000000" w:themeColor="text1"/>
          <w:sz w:val="24"/>
          <w:szCs w:val="24"/>
          <w:highlight w:val="none"/>
          <w14:textFill>
            <w14:solidFill>
              <w14:schemeClr w14:val="tx1"/>
            </w14:solidFill>
          </w14:textFill>
        </w:rPr>
        <w:t xml:space="preserve"> </w:t>
      </w:r>
    </w:p>
    <w:p>
      <w:pPr>
        <w:pStyle w:val="5"/>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0" w:firstLineChars="200"/>
        <w:contextualSpacing/>
        <w:textAlignment w:val="auto"/>
        <w:rPr>
          <w:rFonts w:hint="eastAsia" w:ascii="Times New Roman" w:hAnsi="Times New Roman" w:eastAsia="仿宋" w:cs="Times New Roman"/>
          <w:b w:val="0"/>
          <w:bCs w:val="0"/>
          <w:color w:val="auto"/>
          <w:sz w:val="24"/>
          <w:szCs w:val="24"/>
          <w:highlight w:val="none"/>
          <w:lang w:val="en-US" w:eastAsia="zh-CN"/>
        </w:rPr>
      </w:pPr>
      <w:r>
        <w:rPr>
          <w:rFonts w:hint="default" w:ascii="Times New Roman" w:hAnsi="Times New Roman" w:eastAsia="仿宋" w:cs="Times New Roman"/>
          <w:bCs/>
          <w:color w:val="000000" w:themeColor="text1"/>
          <w:sz w:val="24"/>
          <w:szCs w:val="24"/>
          <w:highlight w:val="none"/>
          <w14:textFill>
            <w14:solidFill>
              <w14:schemeClr w14:val="tx1"/>
            </w14:solidFill>
          </w14:textFill>
        </w:rPr>
        <w:t>我方在充分理解</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highlight w:val="none"/>
          <w14:textFill>
            <w14:solidFill>
              <w14:schemeClr w14:val="tx1"/>
            </w14:solidFill>
          </w14:textFill>
        </w:rPr>
        <w:t>要求</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及相关资料</w:t>
      </w:r>
      <w:r>
        <w:rPr>
          <w:rFonts w:hint="default" w:ascii="Times New Roman" w:hAnsi="Times New Roman" w:eastAsia="仿宋" w:cs="Times New Roman"/>
          <w:bCs/>
          <w:color w:val="000000" w:themeColor="text1"/>
          <w:sz w:val="24"/>
          <w:szCs w:val="24"/>
          <w:highlight w:val="none"/>
          <w14:textFill>
            <w14:solidFill>
              <w14:schemeClr w14:val="tx1"/>
            </w14:solidFill>
          </w14:textFill>
        </w:rPr>
        <w:t>的基础上，</w:t>
      </w:r>
      <w:r>
        <w:rPr>
          <w:rFonts w:hint="default" w:ascii="Times New Roman" w:hAnsi="Times New Roman" w:eastAsia="仿宋" w:cs="Times New Roman"/>
          <w:color w:val="000000" w:themeColor="text1"/>
          <w:sz w:val="24"/>
          <w:szCs w:val="24"/>
          <w:highlight w:val="none"/>
          <w14:textFill>
            <w14:solidFill>
              <w14:schemeClr w14:val="tx1"/>
            </w14:solidFill>
          </w14:textFill>
        </w:rPr>
        <w:t>结合企业自身情况及管理经验，我方愿意以：</w:t>
      </w:r>
      <w:r>
        <w:rPr>
          <w:rFonts w:hint="default" w:ascii="Times New Roman" w:hAnsi="Times New Roman" w:eastAsia="仿宋" w:cs="Times New Roman"/>
          <w:color w:val="000000" w:themeColor="text1"/>
          <w:sz w:val="24"/>
          <w:szCs w:val="24"/>
          <w:highlight w:val="none"/>
          <w:u w:val="none"/>
          <w:lang w:val="en-US" w:eastAsia="zh-CN"/>
          <w14:textFill>
            <w14:solidFill>
              <w14:schemeClr w14:val="tx1"/>
            </w14:solidFill>
          </w14:textFill>
        </w:rPr>
        <w:t>总价</w:t>
      </w:r>
      <w:r>
        <w:rPr>
          <w:rFonts w:hint="default" w:ascii="Times New Roman" w:hAnsi="Times New Roman" w:eastAsia="仿宋"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highlight w:val="none"/>
          <w:u w:val="none"/>
          <w:lang w:val="en-US" w:eastAsia="zh-CN"/>
          <w14:textFill>
            <w14:solidFill>
              <w14:schemeClr w14:val="tx1"/>
            </w14:solidFill>
          </w14:textFill>
        </w:rPr>
        <w:t>元，大写</w:t>
      </w:r>
      <w:r>
        <w:rPr>
          <w:rFonts w:hint="default" w:ascii="Times New Roman" w:hAnsi="Times New Roman" w:eastAsia="仿宋"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仿宋" w:cs="Times New Roman"/>
          <w:b w:val="0"/>
          <w:bCs w:val="0"/>
          <w:color w:val="000000" w:themeColor="text1"/>
          <w:sz w:val="24"/>
          <w:szCs w:val="24"/>
          <w:highlight w:val="none"/>
          <w:u w:val="none"/>
          <w:lang w:val="en-US" w:eastAsia="zh-CN"/>
          <w14:textFill>
            <w14:solidFill>
              <w14:schemeClr w14:val="tx1"/>
            </w14:solidFill>
          </w14:textFill>
        </w:rPr>
        <w:t>，</w:t>
      </w:r>
      <w:r>
        <w:rPr>
          <w:rFonts w:hint="eastAsia" w:ascii="Times New Roman" w:hAnsi="Times New Roman" w:eastAsia="仿宋" w:cs="Times New Roman"/>
          <w:b w:val="0"/>
          <w:bCs w:val="0"/>
          <w:color w:val="auto"/>
          <w:sz w:val="24"/>
          <w:szCs w:val="24"/>
          <w:highlight w:val="none"/>
          <w:lang w:val="en-US" w:eastAsia="zh-CN"/>
        </w:rPr>
        <w:t>报价明细详下表，</w:t>
      </w:r>
      <w:r>
        <w:rPr>
          <w:rFonts w:hint="default" w:ascii="Times New Roman" w:hAnsi="Times New Roman" w:eastAsia="仿宋" w:cs="Times New Roman"/>
          <w:color w:val="000000" w:themeColor="text1"/>
          <w:sz w:val="24"/>
          <w:szCs w:val="24"/>
          <w:highlight w:val="none"/>
          <w14:textFill>
            <w14:solidFill>
              <w14:schemeClr w14:val="tx1"/>
            </w14:solidFill>
          </w14:textFill>
        </w:rPr>
        <w:t>承担</w:t>
      </w:r>
      <w:r>
        <w:rPr>
          <w:rFonts w:hint="default" w:ascii="Times New Roman" w:hAnsi="Times New Roman" w:eastAsia="仿宋" w:cs="Times New Roman"/>
          <w:color w:val="000000" w:themeColor="text1"/>
          <w:sz w:val="24"/>
          <w:szCs w:val="24"/>
          <w:highlight w:val="none"/>
          <w:u w:val="single"/>
          <w:lang w:val="en-US" w:eastAsia="zh-CN"/>
          <w14:textFill>
            <w14:solidFill>
              <w14:schemeClr w14:val="tx1"/>
            </w14:solidFill>
          </w14:textFill>
        </w:rPr>
        <w:t>成都国生创新科技服务有限公司诺峰全剂型国际制剂中心项目消防系统零配件采购</w:t>
      </w:r>
      <w:r>
        <w:rPr>
          <w:rFonts w:hint="eastAsia" w:ascii="Times New Roman" w:hAnsi="Times New Roman" w:eastAsia="仿宋" w:cs="Times New Roman"/>
          <w:color w:val="000000" w:themeColor="text1"/>
          <w:sz w:val="24"/>
          <w:szCs w:val="24"/>
          <w:highlight w:val="none"/>
          <w:u w:val="single"/>
          <w:lang w:val="en-US" w:eastAsia="zh-CN"/>
          <w14:textFill>
            <w14:solidFill>
              <w14:schemeClr w14:val="tx1"/>
            </w14:solidFill>
          </w14:textFill>
        </w:rPr>
        <w:t>项目</w:t>
      </w:r>
      <w:r>
        <w:rPr>
          <w:rFonts w:hint="default" w:ascii="Times New Roman" w:hAnsi="Times New Roman" w:eastAsia="仿宋" w:cs="Times New Roman"/>
          <w:color w:val="000000" w:themeColor="text1"/>
          <w:sz w:val="24"/>
          <w:szCs w:val="24"/>
          <w:highlight w:val="none"/>
          <w14:textFill>
            <w14:solidFill>
              <w14:schemeClr w14:val="tx1"/>
            </w14:solidFill>
          </w14:textFill>
        </w:rPr>
        <w:t>工作</w:t>
      </w:r>
      <w:r>
        <w:rPr>
          <w:rFonts w:hint="default" w:ascii="Times New Roman" w:hAnsi="Times New Roman" w:eastAsia="仿宋"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仿宋" w:cs="Times New Roman"/>
          <w:b w:val="0"/>
          <w:bCs w:val="0"/>
          <w:color w:val="auto"/>
          <w:sz w:val="24"/>
          <w:szCs w:val="24"/>
          <w:highlight w:val="none"/>
          <w:lang w:val="en-US" w:eastAsia="zh-CN"/>
        </w:rPr>
        <w:t>并满足采购人商务及技术服务要求</w:t>
      </w:r>
      <w:r>
        <w:rPr>
          <w:rFonts w:hint="eastAsia" w:ascii="Times New Roman" w:hAnsi="Times New Roman" w:eastAsia="仿宋" w:cs="Times New Roman"/>
          <w:b w:val="0"/>
          <w:bCs w:val="0"/>
          <w:color w:val="auto"/>
          <w:sz w:val="24"/>
          <w:szCs w:val="24"/>
          <w:highlight w:val="none"/>
          <w:lang w:val="en-US" w:eastAsia="zh-CN"/>
        </w:rPr>
        <w:t>等全部要求</w:t>
      </w:r>
      <w:r>
        <w:rPr>
          <w:rFonts w:hint="default" w:ascii="Times New Roman" w:hAnsi="Times New Roman" w:eastAsia="仿宋" w:cs="Times New Roman"/>
          <w:b w:val="0"/>
          <w:bCs w:val="0"/>
          <w:color w:val="auto"/>
          <w:sz w:val="24"/>
          <w:szCs w:val="24"/>
          <w:highlight w:val="none"/>
          <w:lang w:val="en-US" w:eastAsia="zh-CN"/>
        </w:rPr>
        <w:t>。</w:t>
      </w:r>
    </w:p>
    <w:tbl>
      <w:tblPr>
        <w:tblStyle w:val="8"/>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7"/>
        <w:gridCol w:w="2166"/>
        <w:gridCol w:w="2300"/>
        <w:gridCol w:w="1033"/>
        <w:gridCol w:w="693"/>
        <w:gridCol w:w="1524"/>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设备名称</w:t>
            </w:r>
          </w:p>
        </w:tc>
        <w:tc>
          <w:tcPr>
            <w:tcW w:w="230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规格型号</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计量单位</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单价报价（元）（含税）</w:t>
            </w: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电源盘</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AFN-FD30A</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2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功率放大器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GB9242/500W</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3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电池</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JP12-17(12V17AH)</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4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电池</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DJM12100S</w:t>
            </w:r>
            <w:r>
              <w:rPr>
                <w:rFonts w:hint="default" w:ascii="Times New Roman" w:hAnsi="Times New Roman" w:eastAsia="仿宋" w:cs="Times New Roman"/>
                <w:i w:val="0"/>
                <w:iCs w:val="0"/>
                <w:color w:val="000000"/>
                <w:kern w:val="0"/>
                <w:sz w:val="22"/>
                <w:szCs w:val="22"/>
                <w:u w:val="none"/>
                <w:lang w:val="en-US" w:eastAsia="zh-CN" w:bidi="ar"/>
              </w:rPr>
              <w:br w:type="textWrapping"/>
            </w:r>
            <w:r>
              <w:rPr>
                <w:rFonts w:hint="default" w:ascii="Times New Roman" w:hAnsi="Times New Roman" w:eastAsia="仿宋" w:cs="Times New Roman"/>
                <w:i w:val="0"/>
                <w:iCs w:val="0"/>
                <w:color w:val="000000"/>
                <w:kern w:val="0"/>
                <w:sz w:val="22"/>
                <w:szCs w:val="22"/>
                <w:u w:val="none"/>
                <w:lang w:val="en-US" w:eastAsia="zh-CN" w:bidi="ar"/>
              </w:rPr>
              <w:t>(12V100Ah,20hr)</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5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回路板</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FS5050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6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多线盘</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FS5116D</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7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电气火灾监控主机</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TE3001D</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8 </w:t>
            </w:r>
          </w:p>
        </w:tc>
        <w:tc>
          <w:tcPr>
            <w:tcW w:w="216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终端检测设备</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FS2613AVC</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9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防火门监控器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SA-DC03A</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10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消火栓</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SS100/65</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11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气体灭火主机电池</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JP12-7(12VAH)</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6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12 </w:t>
            </w:r>
          </w:p>
        </w:tc>
        <w:tc>
          <w:tcPr>
            <w:tcW w:w="216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应急柜</w:t>
            </w:r>
          </w:p>
        </w:tc>
        <w:tc>
          <w:tcPr>
            <w:tcW w:w="23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HP-PD-1KVA-36B</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13 </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补水阀</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r>
              <w:rPr>
                <w:rFonts w:hint="default" w:ascii="Times New Roman" w:hAnsi="Times New Roman" w:eastAsia="仿宋" w:cs="Times New Roman"/>
                <w:i w:val="0"/>
                <w:iCs w:val="0"/>
                <w:color w:val="000000"/>
                <w:kern w:val="0"/>
                <w:sz w:val="22"/>
                <w:szCs w:val="22"/>
                <w:u w:val="none"/>
                <w:lang w:val="en-US" w:eastAsia="zh-CN" w:bidi="ar"/>
              </w:rPr>
              <w:t>100X-16dn100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sz w:val="22"/>
                <w:szCs w:val="22"/>
                <w:u w:val="none"/>
              </w:rPr>
            </w:pPr>
          </w:p>
        </w:tc>
        <w:tc>
          <w:tcPr>
            <w:tcW w:w="74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仿宋" w:hAnsi="仿宋" w:eastAsia="仿宋" w:cs="仿宋"/>
                <w:i w:val="0"/>
                <w:iCs w:val="0"/>
                <w:color w:val="000000"/>
                <w:sz w:val="22"/>
                <w:szCs w:val="22"/>
                <w:u w:val="none"/>
              </w:rPr>
            </w:pPr>
          </w:p>
        </w:tc>
      </w:tr>
    </w:tbl>
    <w:p>
      <w:pPr>
        <w:pStyle w:val="5"/>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2" w:firstLineChars="200"/>
        <w:contextualSpacing/>
        <w:textAlignment w:val="auto"/>
        <w:rPr>
          <w:rFonts w:hint="default" w:ascii="Times New Roman" w:hAnsi="Times New Roman" w:eastAsia="仿宋" w:cs="Times New Roman"/>
          <w:b/>
          <w:bCs/>
          <w:color w:val="000000" w:themeColor="text1"/>
          <w:sz w:val="24"/>
          <w:szCs w:val="24"/>
          <w:lang w:val="en-US" w:eastAsia="zh-CN"/>
          <w14:textFill>
            <w14:solidFill>
              <w14:schemeClr w14:val="tx1"/>
            </w14:solidFill>
          </w14:textFill>
        </w:rPr>
      </w:pP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contextualSpacing/>
        <w:textAlignment w:val="auto"/>
        <w:rPr>
          <w:rFonts w:hint="default" w:ascii="Times New Roman" w:hAnsi="Times New Roman" w:eastAsia="仿宋" w:cs="Times New Roman"/>
          <w:color w:val="000000" w:themeColor="text1"/>
          <w:kern w:val="0"/>
          <w:sz w:val="24"/>
          <w:szCs w:val="24"/>
          <w:highlight w:val="none"/>
          <w14:textFill>
            <w14:solidFill>
              <w14:schemeClr w14:val="tx1"/>
            </w14:solidFill>
          </w14:textFill>
        </w:rPr>
      </w:pPr>
      <w:r>
        <w:rPr>
          <w:rFonts w:hint="default" w:ascii="Times New Roman" w:hAnsi="Times New Roman" w:eastAsia="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t>一切费用</w:t>
      </w:r>
      <w:r>
        <w:rPr>
          <w:rFonts w:hint="default" w:ascii="Times New Roman" w:hAnsi="Times New Roman" w:eastAsia="仿宋"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仿宋" w:cs="Times New Roman"/>
          <w:color w:val="000000" w:themeColor="text1"/>
          <w:kern w:val="0"/>
          <w:sz w:val="24"/>
          <w:szCs w:val="24"/>
          <w:highlight w:val="none"/>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highlight w:val="none"/>
          <w14:textFill>
            <w14:solidFill>
              <w14:schemeClr w14:val="tx1"/>
            </w14:solidFill>
          </w14:textFill>
        </w:rPr>
      </w:pP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仿宋" w:cs="Times New Roman"/>
          <w:bCs/>
          <w:color w:val="000000" w:themeColor="text1"/>
          <w:sz w:val="24"/>
          <w:szCs w:val="24"/>
          <w:highlight w:val="none"/>
          <w14:textFill>
            <w14:solidFill>
              <w14:schemeClr w14:val="tx1"/>
            </w14:solidFill>
          </w14:textFill>
        </w:rPr>
        <w:t>、我方完全同意自行承担为参加</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highlight w:val="none"/>
          <w14:textFill>
            <w14:solidFill>
              <w14:schemeClr w14:val="tx1"/>
            </w14:solidFill>
          </w14:textFill>
        </w:rPr>
        <w:t>所发生的一切费用。</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仿宋" w:cs="Times New Roman"/>
          <w:bCs/>
          <w:color w:val="000000" w:themeColor="text1"/>
          <w:sz w:val="24"/>
          <w:szCs w:val="24"/>
          <w14:textFill>
            <w14:solidFill>
              <w14:schemeClr w14:val="tx1"/>
            </w14:solidFill>
          </w14:textFill>
        </w:rPr>
        <w:t>、我方承诺在</w:t>
      </w:r>
      <w:r>
        <w:rPr>
          <w:rFonts w:hint="default" w:ascii="Times New Roman" w:hAnsi="Times New Roman" w:eastAsia="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highlight w:val="none"/>
          <w14:textFill>
            <w14:solidFill>
              <w14:schemeClr w14:val="tx1"/>
            </w14:solidFill>
          </w14:textFill>
        </w:rPr>
        <w:t>有效期</w:t>
      </w:r>
      <w:r>
        <w:rPr>
          <w:rFonts w:hint="default" w:ascii="Times New Roman" w:hAnsi="Times New Roman" w:eastAsia="仿宋" w:cs="Times New Roman"/>
          <w:bCs/>
          <w:color w:val="000000" w:themeColor="text1"/>
          <w:sz w:val="24"/>
          <w:szCs w:val="24"/>
          <w14:textFill>
            <w14:solidFill>
              <w14:schemeClr w14:val="tx1"/>
            </w14:solidFill>
          </w14:textFill>
        </w:rPr>
        <w:t>内不修改、不撤销</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仿宋" w:cs="Times New Roman"/>
          <w:bCs/>
          <w:color w:val="000000" w:themeColor="text1"/>
          <w:sz w:val="24"/>
          <w:szCs w:val="24"/>
          <w14:textFill>
            <w14:solidFill>
              <w14:schemeClr w14:val="tx1"/>
            </w14:solidFill>
          </w14:textFill>
        </w:rPr>
        <w:t>和我方的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文件将构成约束我们双方的合同。</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仿宋" w:cs="Times New Roman"/>
          <w:bCs/>
          <w:color w:val="000000" w:themeColor="text1"/>
          <w:sz w:val="24"/>
          <w:szCs w:val="24"/>
          <w14:textFill>
            <w14:solidFill>
              <w14:schemeClr w14:val="tx1"/>
            </w14:solidFill>
          </w14:textFill>
        </w:rPr>
        <w:t>、我方承诺严格按</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仿宋" w:cs="Times New Roman"/>
          <w:bCs/>
          <w:color w:val="000000" w:themeColor="text1"/>
          <w:sz w:val="24"/>
          <w:szCs w:val="24"/>
          <w14:textFill>
            <w14:solidFill>
              <w14:schemeClr w14:val="tx1"/>
            </w14:solidFill>
          </w14:textFill>
        </w:rPr>
        <w:t>及双方签订书面合同约定的内容履行责任与义务。</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仿宋" w:cs="Times New Roman"/>
          <w:bCs/>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的要求，</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仿宋" w:cs="Times New Roman"/>
          <w:bCs/>
          <w:color w:val="000000" w:themeColor="text1"/>
          <w:sz w:val="24"/>
          <w:szCs w:val="24"/>
          <w14:textFill>
            <w14:solidFill>
              <w14:schemeClr w14:val="tx1"/>
            </w14:solidFill>
          </w14:textFill>
        </w:rPr>
        <w:t>可随时更换，我方对此无异议。</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仿宋" w:cs="Times New Roman"/>
          <w:bCs/>
          <w:color w:val="000000" w:themeColor="text1"/>
          <w:sz w:val="24"/>
          <w:szCs w:val="24"/>
          <w14:textFill>
            <w14:solidFill>
              <w14:schemeClr w14:val="tx1"/>
            </w14:solidFill>
          </w14:textFill>
        </w:rPr>
        <w:t>、我方所递交的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仿宋" w:cs="Times New Roman"/>
          <w:bCs/>
          <w:color w:val="000000" w:themeColor="text1"/>
          <w:sz w:val="24"/>
          <w:szCs w:val="24"/>
          <w14:textFill>
            <w14:solidFill>
              <w14:schemeClr w14:val="tx1"/>
            </w14:solidFill>
          </w14:textFill>
        </w:rPr>
        <w:t>规定的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仿宋" w:cs="Times New Roman"/>
          <w:bCs/>
          <w:color w:val="000000" w:themeColor="text1"/>
          <w:sz w:val="24"/>
          <w:szCs w:val="24"/>
          <w14:textFill>
            <w14:solidFill>
              <w14:schemeClr w14:val="tx1"/>
            </w14:solidFill>
          </w14:textFill>
        </w:rPr>
        <w:t>、参加</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后擅自撤回</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为的，将取消资格。</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keepNext w:val="0"/>
        <w:keepLines w:val="0"/>
        <w:pageBreakBefore w:val="0"/>
        <w:widowControl w:val="0"/>
        <w:kinsoku/>
        <w:wordWrap w:val="0"/>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bookmarkEnd w:id="0"/>
    <w:bookmarkEnd w:id="1"/>
    <w:bookmarkEnd w:id="2"/>
    <w:p>
      <w:pPr>
        <w:pStyle w:val="12"/>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color w:val="000000" w:themeColor="text1"/>
          <w:sz w:val="24"/>
          <w:szCs w:val="24"/>
          <w14:textFill>
            <w14:solidFill>
              <w14:schemeClr w14:val="tx1"/>
            </w14:solidFill>
          </w14:textFill>
        </w:rPr>
        <w:sectPr>
          <w:pgSz w:w="11906" w:h="16838"/>
          <w:pgMar w:top="1247" w:right="1134" w:bottom="1134" w:left="1247" w:header="851" w:footer="851" w:gutter="0"/>
          <w:cols w:space="720" w:num="1"/>
          <w:docGrid w:linePitch="312" w:charSpace="0"/>
        </w:sectPr>
      </w:pP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二、</w:t>
      </w:r>
      <w:r>
        <w:rPr>
          <w:rFonts w:hint="default" w:ascii="Times New Roman" w:hAnsi="Times New Roman" w:eastAsia="仿宋" w:cs="Times New Roman"/>
          <w:color w:val="auto"/>
          <w:sz w:val="28"/>
          <w:szCs w:val="28"/>
          <w:highlight w:val="none"/>
        </w:rPr>
        <w:t>法定代表人授权委托书</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（身份证号码）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供应商名称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的法定代表人，现委托本单位人员</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姓名</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 xml:space="preserve"> （身份证号码） </w:t>
      </w:r>
      <w:r>
        <w:rPr>
          <w:rFonts w:hint="default" w:ascii="Times New Roman" w:hAnsi="Times New Roman" w:eastAsia="仿宋" w:cs="Times New Roman"/>
          <w:color w:val="auto"/>
          <w:sz w:val="24"/>
          <w:szCs w:val="24"/>
          <w:highlight w:val="none"/>
        </w:rPr>
        <w:t xml:space="preserve">为我方代理人。代理人根据授权，在参与 </w:t>
      </w:r>
      <w:r>
        <w:rPr>
          <w:rFonts w:hint="default" w:ascii="Times New Roman" w:hAnsi="Times New Roman" w:eastAsia="仿宋" w:cs="Times New Roman"/>
          <w:color w:val="auto"/>
          <w:sz w:val="24"/>
          <w:szCs w:val="24"/>
          <w:highlight w:val="none"/>
          <w:u w:val="single"/>
        </w:rPr>
        <w:t xml:space="preserve">       （项目或事项）  </w:t>
      </w:r>
      <w:r>
        <w:rPr>
          <w:rFonts w:hint="default" w:ascii="Times New Roman" w:hAnsi="Times New Roman" w:eastAsia="仿宋" w:cs="Times New Roman"/>
          <w:color w:val="auto"/>
          <w:sz w:val="24"/>
          <w:szCs w:val="24"/>
          <w:highlight w:val="none"/>
        </w:rPr>
        <w:t>报价及合同签署等活动过程中所签署的一切文件和处理与之有关的一切事务，其法律后果由我方承担。</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委托期限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自本授权委托书签署之日起至</w:t>
      </w:r>
      <w:r>
        <w:rPr>
          <w:rFonts w:hint="default" w:ascii="Times New Roman" w:hAnsi="Times New Roman" w:eastAsia="仿宋" w:cs="Times New Roman"/>
          <w:color w:val="auto"/>
          <w:sz w:val="24"/>
          <w:szCs w:val="24"/>
          <w:highlight w:val="none"/>
          <w:u w:val="none"/>
          <w:lang w:val="en-US" w:eastAsia="zh-CN"/>
        </w:rPr>
        <w:t>比价</w:t>
      </w:r>
      <w:r>
        <w:rPr>
          <w:rFonts w:hint="default" w:ascii="Times New Roman" w:hAnsi="Times New Roman" w:eastAsia="仿宋" w:cs="Times New Roman"/>
          <w:color w:val="auto"/>
          <w:sz w:val="24"/>
          <w:szCs w:val="24"/>
          <w:highlight w:val="none"/>
          <w:u w:val="none"/>
        </w:rPr>
        <w:t>结束</w:t>
      </w:r>
      <w:r>
        <w:rPr>
          <w:rFonts w:hint="default" w:ascii="Times New Roman" w:hAnsi="Times New Roman" w:eastAsia="仿宋" w:cs="Times New Roman"/>
          <w:color w:val="auto"/>
          <w:sz w:val="24"/>
          <w:szCs w:val="24"/>
          <w:highlight w:val="none"/>
        </w:rPr>
        <w:t>结束为止。</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代理人无转委托权。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附</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法定代表人身份证明和法定代表人身份证复印件或扫描件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960" w:firstLineChars="4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委托代理人身份证复印件或扫描件和社保证明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报价单位</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（盖单位公章）</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法定代表人：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委托代理人：</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签字或盖章</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left="0" w:leftChars="0" w:right="0" w:rightChars="0" w:firstLine="0" w:firstLine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联系电话：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（固定电话）</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（移动电话）</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日 期</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 xml:space="preserve">                </w:t>
      </w:r>
    </w:p>
    <w:p>
      <w:pPr>
        <w:keepNext w:val="0"/>
        <w:keepLines w:val="0"/>
        <w:pageBreakBefore w:val="0"/>
        <w:widowControl w:val="0"/>
        <w:tabs>
          <w:tab w:val="left" w:pos="8739"/>
        </w:tabs>
        <w:kinsoku/>
        <w:overflowPunct/>
        <w:topLinePunct w:val="0"/>
        <w:bidi w:val="0"/>
        <w:spacing w:line="360" w:lineRule="auto"/>
        <w:ind w:left="473" w:leftChars="225" w:right="-69" w:rightChars="-33"/>
        <w:textAlignment w:val="auto"/>
        <w:rPr>
          <w:rFonts w:hint="default" w:ascii="Times New Roman" w:hAnsi="Times New Roman" w:eastAsia="宋体" w:cs="Times New Roman"/>
          <w:color w:val="auto"/>
          <w:szCs w:val="21"/>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pStyle w:val="13"/>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pStyle w:val="13"/>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pStyle w:val="2"/>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cs="Times New Roman"/>
          <w:b/>
          <w:bCs/>
          <w:sz w:val="36"/>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center"/>
        <w:textAlignment w:val="auto"/>
        <w:rPr>
          <w:rFonts w:hint="default" w:ascii="Times New Roman" w:hAnsi="Times New Roman" w:eastAsia="仿宋" w:cs="Times New Roman"/>
          <w:b/>
          <w:bCs/>
          <w:color w:val="auto"/>
          <w:kern w:val="2"/>
          <w:sz w:val="28"/>
          <w:szCs w:val="28"/>
          <w:highlight w:val="none"/>
          <w:lang w:val="en-US" w:eastAsia="zh-CN" w:bidi="ar-SA"/>
        </w:rPr>
      </w:pPr>
      <w:r>
        <w:rPr>
          <w:rFonts w:hint="default" w:ascii="Times New Roman" w:hAnsi="Times New Roman" w:eastAsia="仿宋" w:cs="Times New Roman"/>
          <w:b/>
          <w:bCs/>
          <w:color w:val="auto"/>
          <w:kern w:val="2"/>
          <w:sz w:val="28"/>
          <w:szCs w:val="28"/>
          <w:highlight w:val="none"/>
          <w:lang w:val="en-US" w:eastAsia="zh-CN" w:bidi="ar-SA"/>
        </w:rPr>
        <w:t>二、法定代表人身份证明</w:t>
      </w:r>
    </w:p>
    <w:p>
      <w:pPr>
        <w:keepNext w:val="0"/>
        <w:keepLines w:val="0"/>
        <w:pageBreakBefore w:val="0"/>
        <w:widowControl w:val="0"/>
        <w:kinsoku/>
        <w:overflowPunct/>
        <w:topLinePunct w:val="0"/>
        <w:bidi w:val="0"/>
        <w:spacing w:line="360" w:lineRule="auto"/>
        <w:ind w:right="-4" w:rightChars="-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单位名称</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单位性质</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成立时间</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rPr>
        <w:t>经营期限</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rPr>
        <w:br w:type="textWrapping"/>
      </w:r>
      <w:r>
        <w:rPr>
          <w:rFonts w:hint="default" w:ascii="Times New Roman" w:hAnsi="Times New Roman" w:eastAsia="仿宋" w:cs="Times New Roman"/>
          <w:color w:val="auto"/>
          <w:sz w:val="24"/>
          <w:szCs w:val="24"/>
          <w:highlight w:val="none"/>
        </w:rPr>
        <w:t>姓名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系</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u w:val="single"/>
        </w:rPr>
        <w:t>单位名称</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rPr>
        <w:t>的法定代表人</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职务</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电话</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lang w:val="en-US"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特此证明。</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报价</w:t>
      </w:r>
      <w:r>
        <w:rPr>
          <w:rFonts w:hint="default" w:ascii="Times New Roman" w:hAnsi="Times New Roman" w:eastAsia="仿宋" w:cs="Times New Roman"/>
          <w:color w:val="auto"/>
          <w:sz w:val="24"/>
          <w:szCs w:val="24"/>
          <w:highlight w:val="none"/>
        </w:rPr>
        <w:t>单位</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盖单位章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br w:type="textWrapping"/>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月</w:t>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rPr>
        <w:br w:type="textWrapping"/>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pPr>
        <w:pStyle w:val="4"/>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仿宋" w:cs="Times New Roman"/>
          <w:color w:val="000000" w:themeColor="text1"/>
          <w:sz w:val="28"/>
          <w:szCs w:val="28"/>
          <w14:textFill>
            <w14:solidFill>
              <w14:schemeClr w14:val="tx1"/>
            </w14:solidFill>
          </w14:textFill>
        </w:rPr>
      </w:pPr>
      <w:r>
        <w:rPr>
          <w:rFonts w:hint="default" w:ascii="Times New Roman" w:hAnsi="Times New Roman" w:eastAsia="仿宋" w:cs="Times New Roman"/>
          <w:color w:val="000000" w:themeColor="text1"/>
          <w:sz w:val="28"/>
          <w:szCs w:val="28"/>
          <w:lang w:val="en-US" w:eastAsia="zh-CN"/>
          <w14:textFill>
            <w14:solidFill>
              <w14:schemeClr w14:val="tx1"/>
            </w14:solidFill>
          </w14:textFill>
        </w:rPr>
        <w:t>三、</w:t>
      </w:r>
      <w:r>
        <w:rPr>
          <w:rFonts w:hint="default" w:ascii="Times New Roman" w:hAnsi="Times New Roman" w:eastAsia="仿宋" w:cs="Times New Roman"/>
          <w:color w:val="000000" w:themeColor="text1"/>
          <w:sz w:val="28"/>
          <w:szCs w:val="28"/>
          <w14:textFill>
            <w14:solidFill>
              <w14:schemeClr w14:val="tx1"/>
            </w14:solidFill>
          </w14:textFill>
        </w:rPr>
        <w:t>承诺函</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本公司</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仿宋" w:cs="Times New Roman"/>
          <w:color w:val="000000" w:themeColor="text1"/>
          <w:sz w:val="24"/>
          <w:szCs w:val="24"/>
          <w14:textFill>
            <w14:solidFill>
              <w14:schemeClr w14:val="tx1"/>
            </w14:solidFill>
          </w14:textFill>
        </w:rPr>
        <w:t>参加</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仿宋" w:cs="Times New Roman"/>
          <w:color w:val="000000" w:themeColor="text1"/>
          <w:sz w:val="24"/>
          <w:szCs w:val="24"/>
          <w14:textFill>
            <w14:solidFill>
              <w14:schemeClr w14:val="tx1"/>
            </w14:solidFill>
          </w14:textFill>
        </w:rPr>
        <w:t>的</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000000" w:themeColor="text1"/>
          <w:sz w:val="24"/>
          <w:szCs w:val="24"/>
          <w14:textFill>
            <w14:solidFill>
              <w14:schemeClr w14:val="tx1"/>
            </w14:solidFill>
          </w14:textFill>
        </w:rPr>
        <w:t>活动，现根关于</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仿宋" w:cs="Times New Roman"/>
          <w:color w:val="000000" w:themeColor="text1"/>
          <w:sz w:val="24"/>
          <w:szCs w:val="24"/>
          <w14:textFill>
            <w14:solidFill>
              <w14:schemeClr w14:val="tx1"/>
            </w14:solidFill>
          </w14:textFill>
        </w:rPr>
        <w:t>资格要求的相关规定，特别针对以下条款，郑重承诺：</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3、具有履行合同所必须的设备和专业技术能力；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4、具有依法缴纳税收和社会保障资金的良好记录；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5、参加本次</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仿宋" w:cs="Times New Roman"/>
          <w:color w:val="000000" w:themeColor="text1"/>
          <w:sz w:val="24"/>
          <w:szCs w:val="24"/>
          <w14:textFill>
            <w14:solidFill>
              <w14:schemeClr w14:val="tx1"/>
            </w14:solidFill>
          </w14:textFill>
        </w:rPr>
        <w:t>前三年内，在经营活动中没有重大违法记录。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6．未被列入失信被执行人、重大税收违法失信主体、政府采购严重违法失信行为记录名单；</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如违反以上承诺，本公司愿承担一切法律责任。</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仿宋" w:cs="Times New Roman"/>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（签字）</w:t>
      </w:r>
    </w:p>
    <w:p>
      <w:pPr>
        <w:pStyle w:val="2"/>
        <w:keepNext w:val="0"/>
        <w:keepLines w:val="0"/>
        <w:pageBreakBefore w:val="0"/>
        <w:widowControl w:val="0"/>
        <w:kinsoku/>
        <w:wordWrap w:val="0"/>
        <w:overflowPunct/>
        <w:topLinePunct w:val="0"/>
        <w:bidi w:val="0"/>
        <w:jc w:val="right"/>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日 期</w:t>
      </w:r>
      <w:r>
        <w:rPr>
          <w:rFonts w:hint="default" w:ascii="Times New Roman" w:hAnsi="Times New Roman" w:eastAsia="仿宋" w:cs="Times New Roman"/>
          <w:color w:val="000000" w:themeColor="text1"/>
          <w:sz w:val="24"/>
          <w:szCs w:val="24"/>
          <w:lang w:eastAsia="zh-CN"/>
          <w14:textFill>
            <w14:solidFill>
              <w14:schemeClr w14:val="tx1"/>
            </w14:solidFill>
          </w14:textFill>
        </w:rPr>
        <w:t>：</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年</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月</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日</w:t>
      </w:r>
      <w:r>
        <w:rPr>
          <w:rFonts w:hint="default" w:ascii="Times New Roman" w:hAnsi="Times New Roman" w:eastAsia="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overflowPunct/>
        <w:topLinePunct w:val="0"/>
        <w:bidi w:val="0"/>
        <w:textAlignment w:val="auto"/>
        <w:rPr>
          <w:rFonts w:hint="default" w:ascii="Times New Roman" w:hAnsi="Times New Roman" w:eastAsia="仿宋" w:cs="Times New Roman"/>
          <w:szCs w:val="21"/>
          <w:lang w:val="en-US" w:eastAsia="zh-CN"/>
        </w:rPr>
      </w:pPr>
    </w:p>
    <w:p/>
    <w:p/>
    <w:p>
      <w:bookmarkStart w:id="3" w:name="_GoBack"/>
      <w:bookmarkEnd w:id="3"/>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79BAD"/>
    <w:multiLevelType w:val="singleLevel"/>
    <w:tmpl w:val="94379BAD"/>
    <w:lvl w:ilvl="0" w:tentative="0">
      <w:start w:val="1"/>
      <w:numFmt w:val="chineseCounting"/>
      <w:suff w:val="nothing"/>
      <w:lvlText w:val="（%1）"/>
      <w:lvlJc w:val="left"/>
      <w:rPr>
        <w:rFonts w:hint="eastAsia"/>
      </w:rPr>
    </w:lvl>
  </w:abstractNum>
  <w:abstractNum w:abstractNumId="1">
    <w:nsid w:val="2185381D"/>
    <w:multiLevelType w:val="singleLevel"/>
    <w:tmpl w:val="2185381D"/>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zYwODk5NDQ5YWE3NDdhZDM0MzdjMGZjZTkzNGMifQ=="/>
  </w:docVars>
  <w:rsids>
    <w:rsidRoot w:val="00000000"/>
    <w:rsid w:val="64CD1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jc w:val="left"/>
      <w:outlineLvl w:val="1"/>
    </w:pPr>
    <w:rPr>
      <w:rFonts w:ascii="宋体" w:hAnsi="宋体"/>
      <w:b/>
      <w:bCs/>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Plain Text"/>
    <w:basedOn w:val="1"/>
    <w:qFormat/>
    <w:uiPriority w:val="0"/>
    <w:rPr>
      <w:rFonts w:ascii="宋体" w:hAnsi="Courier New" w:eastAsia="宋体" w:cs="Courier New"/>
      <w:szCs w:val="21"/>
    </w:rPr>
  </w:style>
  <w:style w:type="paragraph" w:styleId="5">
    <w:name w:val="Body Text Indent 2"/>
    <w:basedOn w:val="1"/>
    <w:next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character" w:customStyle="1" w:styleId="10">
    <w:name w:val="font21"/>
    <w:basedOn w:val="9"/>
    <w:qFormat/>
    <w:uiPriority w:val="0"/>
    <w:rPr>
      <w:rFonts w:ascii="宋体" w:hAnsi="宋体" w:eastAsia="宋体" w:cs="宋体"/>
      <w:b/>
      <w:bCs/>
      <w:color w:val="000000"/>
      <w:sz w:val="22"/>
      <w:szCs w:val="22"/>
      <w:u w:val="none"/>
    </w:rPr>
  </w:style>
  <w:style w:type="character" w:customStyle="1" w:styleId="11">
    <w:name w:val="font91"/>
    <w:basedOn w:val="9"/>
    <w:qFormat/>
    <w:uiPriority w:val="0"/>
    <w:rPr>
      <w:rFonts w:ascii="宋体" w:hAnsi="宋体" w:eastAsia="宋体" w:cs="宋体"/>
      <w:color w:val="000000"/>
      <w:sz w:val="22"/>
      <w:szCs w:val="22"/>
      <w:u w:val="none"/>
    </w:rPr>
  </w:style>
  <w:style w:type="paragraph" w:customStyle="1" w:styleId="12">
    <w:name w:val="p0"/>
    <w:basedOn w:val="1"/>
    <w:qFormat/>
    <w:uiPriority w:val="99"/>
    <w:pPr>
      <w:widowControl/>
    </w:pPr>
    <w:rPr>
      <w:kern w:val="0"/>
      <w:szCs w:val="21"/>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2026-09-22T07:40:00Z</dcterms:created>
  <dc:creator>DELL</dc:creator>
  <cp:lastModifiedBy>Lucille</cp:lastModifiedBy>
  <dcterms:modified xsi:type="dcterms:W3CDTF">2026-09-22T07:41:12Z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2052-11.1.0.14246</vt:lpwstr>
  </property>
  <property fmtid="{D5CDD505-2E9C-101B-9397-08002B2CF9AE}" pid="3" name="ICV">
    <vt:lpwstr>21FFDCD13D094BD1BCB3296C2E65DDF7_12</vt:lpwstr>
  </property>
</Properties>
</file>