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方正黑体" w:cs="Times New Roman"/>
          <w:sz w:val="32"/>
          <w:szCs w:val="40"/>
          <w:highlight w:val="none"/>
          <w:lang w:val="en-US" w:eastAsia="zh-CN"/>
        </w:rPr>
      </w:pPr>
      <w:r>
        <w:rPr>
          <w:rFonts w:hint="default" w:ascii="Times New Roman" w:hAnsi="Times New Roman" w:eastAsia="方正黑体" w:cs="Times New Roman"/>
          <w:sz w:val="32"/>
          <w:szCs w:val="40"/>
          <w:highlight w:val="none"/>
          <w:lang w:val="en-US" w:eastAsia="zh-CN"/>
        </w:rPr>
        <w:t>附件1：</w:t>
      </w:r>
    </w:p>
    <w:p>
      <w:pPr>
        <w:jc w:val="center"/>
        <w:rPr>
          <w:rFonts w:hint="default" w:ascii="Times New Roman" w:hAnsi="Times New Roman" w:eastAsia="宋体" w:cs="Times New Roman"/>
          <w:b/>
          <w:bCs/>
          <w:sz w:val="32"/>
          <w:szCs w:val="40"/>
          <w:highlight w:val="none"/>
          <w:lang w:val="en-US" w:eastAsia="zh-CN"/>
        </w:rPr>
      </w:pPr>
      <w:r>
        <w:rPr>
          <w:rFonts w:hint="default" w:ascii="Times New Roman" w:hAnsi="Times New Roman" w:cs="Times New Roman"/>
          <w:b/>
          <w:bCs/>
          <w:sz w:val="32"/>
          <w:szCs w:val="40"/>
          <w:highlight w:val="none"/>
          <w:lang w:val="en-US" w:eastAsia="zh-CN"/>
        </w:rPr>
        <w:t>商务、技术及服务要求</w:t>
      </w:r>
    </w:p>
    <w:p>
      <w:pPr>
        <w:rPr>
          <w:rFonts w:hint="default" w:ascii="Times New Roman" w:hAnsi="Times New Roman" w:cs="Times New Roman"/>
          <w:highlight w:val="none"/>
        </w:rPr>
      </w:pPr>
    </w:p>
    <w:p>
      <w:pPr>
        <w:spacing w:line="360" w:lineRule="auto"/>
        <w:ind w:firstLine="482" w:firstLineChars="200"/>
        <w:rPr>
          <w:rFonts w:hint="default" w:ascii="Times New Roman" w:hAnsi="Times New Roman" w:eastAsia="方正仿宋_GB2312" w:cs="Times New Roman"/>
          <w:b/>
          <w:bCs/>
          <w:sz w:val="24"/>
          <w:szCs w:val="32"/>
          <w:highlight w:val="none"/>
        </w:rPr>
      </w:pPr>
      <w:r>
        <w:rPr>
          <w:rFonts w:hint="default" w:ascii="Times New Roman" w:hAnsi="Times New Roman" w:eastAsia="方正仿宋_GB2312" w:cs="Times New Roman"/>
          <w:b/>
          <w:bCs/>
          <w:sz w:val="24"/>
          <w:szCs w:val="32"/>
          <w:highlight w:val="none"/>
        </w:rPr>
        <w:t>一、项目概况</w:t>
      </w:r>
      <w:bookmarkStart w:id="3" w:name="_GoBack"/>
      <w:bookmarkEnd w:id="3"/>
    </w:p>
    <w:p>
      <w:pPr>
        <w:spacing w:line="360" w:lineRule="auto"/>
        <w:ind w:firstLine="480" w:firstLineChars="200"/>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sz w:val="24"/>
          <w:szCs w:val="32"/>
          <w:highlight w:val="none"/>
        </w:rPr>
        <w:t>1、项目名称：</w:t>
      </w:r>
      <w:r>
        <w:rPr>
          <w:rFonts w:hint="eastAsia" w:ascii="Times New Roman" w:hAnsi="Times New Roman" w:eastAsia="仿宋" w:cs="Times New Roman"/>
          <w:kern w:val="1"/>
          <w:sz w:val="24"/>
          <w:szCs w:val="24"/>
          <w:highlight w:val="none"/>
          <w:lang w:val="en-US" w:eastAsia="zh-CN"/>
        </w:rPr>
        <w:t>成都国生创新科技服务有限公司</w:t>
      </w:r>
      <w:r>
        <w:rPr>
          <w:rFonts w:hint="default" w:ascii="Times New Roman" w:hAnsi="Times New Roman" w:eastAsia="仿宋" w:cs="Times New Roman"/>
          <w:kern w:val="1"/>
          <w:sz w:val="24"/>
          <w:szCs w:val="24"/>
          <w:highlight w:val="none"/>
          <w:lang w:val="en-US" w:eastAsia="zh-CN"/>
        </w:rPr>
        <w:t>2026-2027年涉诉案件保全保函服务项目</w:t>
      </w:r>
    </w:p>
    <w:p>
      <w:pPr>
        <w:spacing w:line="360" w:lineRule="auto"/>
        <w:ind w:firstLine="480" w:firstLineChars="200"/>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sz w:val="24"/>
          <w:szCs w:val="32"/>
          <w:highlight w:val="none"/>
        </w:rPr>
        <w:t>2、项目基本情况介绍：为保障</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rPr>
        <w:t>债权实现，提高诉讼效率，拟选聘一家保险公司为</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rPr>
        <w:t>年度内需提起的诉讼案件提供保全保函服务。</w:t>
      </w:r>
    </w:p>
    <w:p>
      <w:pPr>
        <w:spacing w:line="360" w:lineRule="auto"/>
        <w:ind w:firstLine="482" w:firstLineChars="200"/>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b/>
          <w:bCs/>
          <w:sz w:val="24"/>
          <w:szCs w:val="32"/>
          <w:highlight w:val="none"/>
        </w:rPr>
        <w:t>二、商务要求</w:t>
      </w:r>
      <w:r>
        <w:rPr>
          <w:rFonts w:hint="default" w:ascii="Times New Roman" w:hAnsi="Times New Roman" w:eastAsia="方正仿宋_GB2312" w:cs="Times New Roman"/>
          <w:sz w:val="24"/>
          <w:szCs w:val="32"/>
          <w:highlight w:val="none"/>
        </w:rPr>
        <w:t xml:space="preserve"> </w:t>
      </w:r>
    </w:p>
    <w:p>
      <w:pPr>
        <w:spacing w:line="360" w:lineRule="auto"/>
        <w:ind w:firstLine="480" w:firstLineChars="200"/>
        <w:rPr>
          <w:rFonts w:hint="eastAsia" w:ascii="Times New Roman" w:hAnsi="Times New Roman" w:eastAsia="方正仿宋_GB2312" w:cs="Times New Roman"/>
          <w:sz w:val="24"/>
          <w:szCs w:val="32"/>
          <w:highlight w:val="none"/>
          <w:lang w:val="en-US" w:eastAsia="zh-CN"/>
        </w:rPr>
      </w:pPr>
      <w:r>
        <w:rPr>
          <w:rFonts w:hint="default" w:ascii="Times New Roman" w:hAnsi="Times New Roman" w:eastAsia="方正仿宋_GB2312" w:cs="Times New Roman"/>
          <w:sz w:val="24"/>
          <w:szCs w:val="32"/>
          <w:highlight w:val="none"/>
        </w:rPr>
        <w:t>1、服务期限：</w:t>
      </w:r>
      <w:r>
        <w:rPr>
          <w:rFonts w:hint="eastAsia" w:ascii="Times New Roman" w:hAnsi="Times New Roman" w:eastAsia="方正仿宋_GB2312" w:cs="Times New Roman"/>
          <w:sz w:val="24"/>
          <w:szCs w:val="32"/>
          <w:highlight w:val="none"/>
          <w:lang w:val="en-US" w:eastAsia="zh-CN"/>
        </w:rPr>
        <w:t>自本项目合同签订之日起一年或提供保全保函服务次数达15次，以两者中先到达者为准。</w:t>
      </w:r>
    </w:p>
    <w:p>
      <w:pPr>
        <w:spacing w:line="360" w:lineRule="auto"/>
        <w:ind w:firstLine="480" w:firstLineChars="200"/>
        <w:rPr>
          <w:rFonts w:hint="default" w:ascii="Times New Roman" w:hAnsi="Times New Roman" w:eastAsia="方正仿宋_GB2312" w:cs="Times New Roman"/>
          <w:sz w:val="24"/>
          <w:szCs w:val="32"/>
          <w:highlight w:val="none"/>
          <w:lang w:val="en-US" w:eastAsia="zh-CN"/>
        </w:rPr>
      </w:pPr>
      <w:r>
        <w:rPr>
          <w:rFonts w:hint="eastAsia" w:ascii="Times New Roman" w:hAnsi="Times New Roman" w:eastAsia="方正仿宋_GB2312" w:cs="Times New Roman"/>
          <w:sz w:val="24"/>
          <w:szCs w:val="32"/>
          <w:highlight w:val="none"/>
          <w:lang w:val="en-US" w:eastAsia="zh-CN"/>
        </w:rPr>
        <w:t>2、响应实效：自收到采购人完整申请资料后【2】个工作日内完成保函开具与送达。若服务提供方经审核后无法承保，应在收到完整申请资料后【1】个工作日内向采购人出具书面《无法承保通知》，明确说明理由，并退还全部申请资料，且不得因此向采购人收取任何费用。</w:t>
      </w:r>
    </w:p>
    <w:p>
      <w:pPr>
        <w:spacing w:line="360" w:lineRule="auto"/>
        <w:ind w:firstLine="480" w:firstLineChars="200"/>
        <w:rPr>
          <w:rFonts w:hint="eastAsia" w:ascii="Times New Roman" w:hAnsi="Times New Roman" w:eastAsia="方正仿宋_GB2312" w:cs="Times New Roman"/>
          <w:sz w:val="24"/>
          <w:szCs w:val="32"/>
          <w:highlight w:val="none"/>
          <w:lang w:val="en-US" w:eastAsia="zh-CN"/>
        </w:rPr>
      </w:pPr>
      <w:r>
        <w:rPr>
          <w:rFonts w:hint="eastAsia" w:ascii="Times New Roman" w:hAnsi="Times New Roman" w:eastAsia="方正仿宋_GB2312" w:cs="Times New Roman"/>
          <w:sz w:val="24"/>
          <w:szCs w:val="32"/>
          <w:highlight w:val="none"/>
          <w:lang w:val="en-US" w:eastAsia="zh-CN"/>
        </w:rPr>
        <w:t>3</w:t>
      </w:r>
      <w:r>
        <w:rPr>
          <w:rFonts w:hint="default" w:ascii="Times New Roman" w:hAnsi="Times New Roman" w:eastAsia="方正仿宋_GB2312" w:cs="Times New Roman"/>
          <w:sz w:val="24"/>
          <w:szCs w:val="32"/>
          <w:highlight w:val="none"/>
        </w:rPr>
        <w:t>、支付方式：</w:t>
      </w:r>
      <w:r>
        <w:rPr>
          <w:rFonts w:hint="eastAsia" w:ascii="Times New Roman" w:hAnsi="Times New Roman" w:eastAsia="方正仿宋_GB2312" w:cs="Times New Roman"/>
          <w:sz w:val="24"/>
          <w:szCs w:val="32"/>
          <w:highlight w:val="none"/>
          <w:lang w:val="en-US" w:eastAsia="zh-CN"/>
        </w:rPr>
        <w:t>签订投保单</w:t>
      </w:r>
      <w:r>
        <w:rPr>
          <w:rFonts w:hint="default" w:ascii="Times New Roman" w:hAnsi="Times New Roman" w:eastAsia="方正仿宋_GB2312" w:cs="Times New Roman"/>
          <w:sz w:val="24"/>
          <w:szCs w:val="32"/>
          <w:highlight w:val="none"/>
          <w:lang w:val="en-US" w:eastAsia="zh-CN"/>
        </w:rPr>
        <w:t>后</w:t>
      </w:r>
      <w:r>
        <w:rPr>
          <w:rFonts w:hint="eastAsia" w:ascii="Times New Roman" w:hAnsi="Times New Roman" w:eastAsia="方正仿宋_GB2312" w:cs="Times New Roman"/>
          <w:sz w:val="24"/>
          <w:szCs w:val="32"/>
          <w:highlight w:val="none"/>
          <w:lang w:val="en-US" w:eastAsia="zh-CN"/>
        </w:rPr>
        <w:t>，投保人一次性支付当次保全保函费。</w:t>
      </w:r>
    </w:p>
    <w:p>
      <w:pPr>
        <w:spacing w:line="360" w:lineRule="auto"/>
        <w:ind w:firstLine="480" w:firstLineChars="200"/>
        <w:rPr>
          <w:rFonts w:hint="default" w:ascii="Times New Roman" w:hAnsi="Times New Roman" w:eastAsia="方正仿宋_GB2312" w:cs="Times New Roman"/>
          <w:sz w:val="24"/>
          <w:szCs w:val="32"/>
          <w:highlight w:val="none"/>
          <w:lang w:val="en-US" w:eastAsia="zh-CN"/>
        </w:rPr>
      </w:pPr>
      <w:r>
        <w:rPr>
          <w:rFonts w:hint="eastAsia" w:ascii="Times New Roman" w:hAnsi="Times New Roman" w:eastAsia="方正仿宋_GB2312" w:cs="Times New Roman"/>
          <w:sz w:val="24"/>
          <w:szCs w:val="32"/>
          <w:highlight w:val="none"/>
          <w:lang w:val="en-US" w:eastAsia="zh-CN"/>
        </w:rPr>
        <w:t>4、成交供应商须开具增值税专用发票。</w:t>
      </w:r>
    </w:p>
    <w:p>
      <w:pPr>
        <w:spacing w:line="360" w:lineRule="auto"/>
        <w:ind w:firstLine="482" w:firstLineChars="200"/>
        <w:rPr>
          <w:rFonts w:hint="default" w:ascii="Times New Roman" w:hAnsi="Times New Roman" w:eastAsia="方正仿宋_GB2312" w:cs="Times New Roman"/>
          <w:b/>
          <w:bCs/>
          <w:sz w:val="24"/>
          <w:szCs w:val="32"/>
          <w:highlight w:val="none"/>
        </w:rPr>
      </w:pPr>
      <w:r>
        <w:rPr>
          <w:rFonts w:hint="default" w:ascii="Times New Roman" w:hAnsi="Times New Roman" w:eastAsia="方正仿宋_GB2312" w:cs="Times New Roman"/>
          <w:b/>
          <w:bCs/>
          <w:sz w:val="24"/>
          <w:szCs w:val="32"/>
          <w:highlight w:val="none"/>
        </w:rPr>
        <w:t>三、技术、服务要求</w:t>
      </w:r>
    </w:p>
    <w:p>
      <w:pPr>
        <w:spacing w:line="360" w:lineRule="auto"/>
        <w:ind w:firstLine="480" w:firstLineChars="200"/>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sz w:val="24"/>
          <w:szCs w:val="32"/>
          <w:highlight w:val="none"/>
        </w:rPr>
        <w:t>1、服务内容：根据</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rPr>
        <w:t>提供的起诉状、证据清单、保全申请书等材料，审核并开具符合法院要求的诉讼保全保函。</w:t>
      </w:r>
    </w:p>
    <w:p>
      <w:pPr>
        <w:spacing w:line="360" w:lineRule="auto"/>
        <w:ind w:firstLine="480" w:firstLineChars="200"/>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sz w:val="24"/>
          <w:szCs w:val="32"/>
          <w:highlight w:val="none"/>
        </w:rPr>
        <w:t>2、服务要求：保函需为不可撤销形式，符合受理法院的全部格式与内容要求，确保能够被法院接收并用于财产保全；保函有效期自被保险人向法院提出诉讼财产保全申请之日起至保全损害之债诉讼时效届满时终止；在</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rPr>
        <w:t>材料齐全后【2】个工作日内完成出函并送达指定地点。</w:t>
      </w:r>
    </w:p>
    <w:p>
      <w:pPr>
        <w:spacing w:line="360" w:lineRule="auto"/>
        <w:ind w:firstLine="480" w:firstLineChars="200"/>
        <w:rPr>
          <w:rFonts w:hint="eastAsia" w:ascii="Times New Roman" w:hAnsi="Times New Roman" w:eastAsia="方正仿宋_GB2312" w:cs="Times New Roman"/>
          <w:sz w:val="24"/>
          <w:szCs w:val="32"/>
          <w:highlight w:val="none"/>
          <w:lang w:val="en-US" w:eastAsia="zh-CN"/>
        </w:rPr>
      </w:pPr>
      <w:r>
        <w:rPr>
          <w:rFonts w:hint="eastAsia" w:ascii="Times New Roman" w:hAnsi="Times New Roman" w:eastAsia="方正仿宋_GB2312" w:cs="Times New Roman"/>
          <w:sz w:val="24"/>
          <w:szCs w:val="32"/>
          <w:highlight w:val="none"/>
          <w:lang w:val="en-US" w:eastAsia="zh-CN"/>
        </w:rPr>
        <w:t>3、保密要求</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供应商在为本项目提供诉讼保全保函服务的过程中，须承担以下保密义务：</w:t>
      </w:r>
    </w:p>
    <w:p>
      <w:pPr>
        <w:pStyle w:val="6"/>
        <w:ind w:firstLine="480" w:firstLineChars="200"/>
        <w:rPr>
          <w:rFonts w:hint="default" w:ascii="Times New Roman" w:hAnsi="Times New Roman" w:eastAsia="方正仿宋_GB2312"/>
          <w:sz w:val="24"/>
          <w:szCs w:val="32"/>
          <w:highlight w:val="none"/>
          <w:lang w:val="en-US" w:eastAsia="zh-CN"/>
        </w:rPr>
      </w:pP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 xml:space="preserve">3.1 </w:t>
      </w:r>
      <w:r>
        <w:rPr>
          <w:rFonts w:hint="default" w:ascii="Times New Roman" w:hAnsi="Times New Roman" w:eastAsia="方正仿宋_GB2312"/>
          <w:sz w:val="24"/>
          <w:szCs w:val="32"/>
          <w:highlight w:val="none"/>
          <w:lang w:val="en-US" w:eastAsia="zh-CN"/>
        </w:rPr>
        <w:t>保密信息范围</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包括但不限于：采购人提供的案件材料、诉讼策略、财产线索、当事人身份信息、证据资料；供应商因服务而知悉的采购人内部管理信息；双方约定的其他非公开信息。</w:t>
      </w:r>
    </w:p>
    <w:p>
      <w:pPr>
        <w:pStyle w:val="6"/>
        <w:ind w:firstLine="480" w:firstLineChars="200"/>
        <w:rPr>
          <w:rFonts w:hint="default" w:ascii="Times New Roman" w:hAnsi="Times New Roman" w:eastAsia="方正仿宋_GB2312"/>
          <w:sz w:val="24"/>
          <w:szCs w:val="32"/>
          <w:highlight w:val="none"/>
          <w:lang w:val="en-US" w:eastAsia="zh-CN"/>
        </w:rPr>
      </w:pP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 xml:space="preserve">3.2 </w:t>
      </w:r>
      <w:r>
        <w:rPr>
          <w:rFonts w:hint="default" w:ascii="Times New Roman" w:hAnsi="Times New Roman" w:eastAsia="方正仿宋_GB2312"/>
          <w:sz w:val="24"/>
          <w:szCs w:val="32"/>
          <w:highlight w:val="none"/>
          <w:lang w:val="en-US" w:eastAsia="zh-CN"/>
        </w:rPr>
        <w:t>保密措施</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（1）供应商须建立健全保密制度，指定专人负责保密信息管理；</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（2）未经采购人书面同意，不得向任何第三方泄露保密信息（向法院提交的必要材料除外）；</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（3）不得将保密信息用于本次服务以外的任何目的；</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（4）采取不低于保护自身同类信息的保护标准（至少为合理商业保密措施）。</w:t>
      </w:r>
    </w:p>
    <w:p>
      <w:pPr>
        <w:pStyle w:val="6"/>
        <w:ind w:firstLine="480" w:firstLineChars="200"/>
        <w:rPr>
          <w:rFonts w:hint="default" w:ascii="Times New Roman" w:hAnsi="Times New Roman" w:eastAsia="方正仿宋_GB2312"/>
          <w:sz w:val="24"/>
          <w:szCs w:val="32"/>
          <w:highlight w:val="none"/>
          <w:lang w:val="en-US" w:eastAsia="zh-CN"/>
        </w:rPr>
      </w:pP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 xml:space="preserve">3.3 </w:t>
      </w:r>
      <w:r>
        <w:rPr>
          <w:rFonts w:hint="default" w:ascii="Times New Roman" w:hAnsi="Times New Roman" w:eastAsia="方正仿宋_GB2312"/>
          <w:sz w:val="24"/>
          <w:szCs w:val="32"/>
          <w:highlight w:val="none"/>
          <w:lang w:val="en-US" w:eastAsia="zh-CN"/>
        </w:rPr>
        <w:t>泄密责任</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若供应商违反保密要求，采购人有权单方解除合同、拒绝支付未付费用，并要求供应商赔偿全部直接及间接损失（包括但不限于诉讼费、律师费、调查费、声誉损失等）。同时，采购人有权将供应商列入不良行为名单。</w:t>
      </w:r>
    </w:p>
    <w:p>
      <w:pPr>
        <w:pStyle w:val="6"/>
        <w:ind w:firstLine="480" w:firstLineChars="200"/>
        <w:rPr>
          <w:rFonts w:hint="default" w:ascii="Times New Roman" w:hAnsi="Times New Roman" w:eastAsia="方正仿宋_GB2312"/>
          <w:sz w:val="24"/>
          <w:szCs w:val="32"/>
          <w:highlight w:val="none"/>
          <w:lang w:val="en-US" w:eastAsia="zh-CN"/>
        </w:rPr>
      </w:pP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 xml:space="preserve">3.4 </w:t>
      </w:r>
      <w:r>
        <w:rPr>
          <w:rFonts w:hint="default" w:ascii="Times New Roman" w:hAnsi="Times New Roman" w:eastAsia="方正仿宋_GB2312"/>
          <w:sz w:val="24"/>
          <w:szCs w:val="32"/>
          <w:highlight w:val="none"/>
          <w:lang w:val="en-US" w:eastAsia="zh-CN"/>
        </w:rPr>
        <w:t>保密期限</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保密义务自采购人提供保密信息之日起，至该信息依法公开或被采购人书面同意披露时止；其中涉及诉讼案件信息、个人隐私、商业秘密的，永久保密。</w:t>
      </w:r>
    </w:p>
    <w:p>
      <w:pPr>
        <w:pStyle w:val="6"/>
        <w:ind w:firstLine="480" w:firstLineChars="200"/>
        <w:rPr>
          <w:rFonts w:hint="default" w:ascii="Times New Roman" w:hAnsi="Times New Roman" w:eastAsia="方正仿宋_GB2312"/>
          <w:sz w:val="24"/>
          <w:szCs w:val="32"/>
          <w:highlight w:val="none"/>
          <w:lang w:val="en-US" w:eastAsia="zh-CN"/>
        </w:rPr>
      </w:pP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 xml:space="preserve">3.5 </w:t>
      </w:r>
      <w:r>
        <w:rPr>
          <w:rFonts w:hint="default" w:ascii="Times New Roman" w:hAnsi="Times New Roman" w:eastAsia="方正仿宋_GB2312"/>
          <w:sz w:val="24"/>
          <w:szCs w:val="32"/>
          <w:highlight w:val="none"/>
          <w:lang w:val="en-US" w:eastAsia="zh-CN"/>
        </w:rPr>
        <w:t>信息返还</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服务终止或采购人要求时，供应商应立即返还或销毁所有含保密信息的资料（法律法规要求存档的除外）。</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4</w:t>
      </w:r>
      <w:r>
        <w:rPr>
          <w:rFonts w:hint="default" w:ascii="Times New Roman" w:hAnsi="Times New Roman" w:eastAsia="方正仿宋_GB2312"/>
          <w:sz w:val="24"/>
          <w:szCs w:val="32"/>
          <w:highlight w:val="none"/>
          <w:lang w:val="en-US" w:eastAsia="zh-CN"/>
        </w:rPr>
        <w:t>、</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权利与义务</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4.1</w:t>
      </w:r>
      <w:r>
        <w:rPr>
          <w:rFonts w:hint="default" w:ascii="Times New Roman" w:hAnsi="Times New Roman" w:eastAsia="方正仿宋_GB2312"/>
          <w:sz w:val="24"/>
          <w:szCs w:val="32"/>
          <w:highlight w:val="none"/>
          <w:lang w:val="en-US" w:eastAsia="zh-CN"/>
        </w:rPr>
        <w:t>在</w:t>
      </w:r>
      <w:r>
        <w:rPr>
          <w:rFonts w:hint="eastAsia" w:ascii="Times New Roman" w:hAnsi="Times New Roman" w:eastAsia="方正仿宋_GB2312"/>
          <w:sz w:val="24"/>
          <w:szCs w:val="32"/>
          <w:highlight w:val="none"/>
          <w:lang w:val="en-US" w:eastAsia="zh-CN"/>
        </w:rPr>
        <w:t>合同</w:t>
      </w:r>
      <w:r>
        <w:rPr>
          <w:rFonts w:hint="default" w:ascii="Times New Roman" w:hAnsi="Times New Roman" w:eastAsia="方正仿宋_GB2312"/>
          <w:sz w:val="24"/>
          <w:szCs w:val="32"/>
          <w:highlight w:val="none"/>
          <w:lang w:val="en-US" w:eastAsia="zh-CN"/>
        </w:rPr>
        <w:t>效期内，对于</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提出申请的诉讼保全案件，经</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审核通过后，</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有权要求</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按照</w:t>
      </w:r>
      <w:r>
        <w:rPr>
          <w:rFonts w:hint="eastAsia" w:ascii="Times New Roman" w:hAnsi="Times New Roman" w:eastAsia="方正仿宋_GB2312"/>
          <w:sz w:val="24"/>
          <w:szCs w:val="32"/>
          <w:highlight w:val="none"/>
          <w:lang w:val="en-US" w:eastAsia="zh-CN"/>
        </w:rPr>
        <w:t>合同</w:t>
      </w:r>
      <w:r>
        <w:rPr>
          <w:rFonts w:hint="default" w:ascii="Times New Roman" w:hAnsi="Times New Roman" w:eastAsia="方正仿宋_GB2312"/>
          <w:sz w:val="24"/>
          <w:szCs w:val="32"/>
          <w:highlight w:val="none"/>
          <w:lang w:val="en-US" w:eastAsia="zh-CN"/>
        </w:rPr>
        <w:t>约定及时出具诉讼保全保函。</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4.2采购人</w:t>
      </w:r>
      <w:r>
        <w:rPr>
          <w:rFonts w:hint="default" w:ascii="Times New Roman" w:hAnsi="Times New Roman" w:eastAsia="方正仿宋_GB2312"/>
          <w:sz w:val="24"/>
          <w:szCs w:val="32"/>
          <w:highlight w:val="none"/>
          <w:lang w:val="en-US" w:eastAsia="zh-CN"/>
        </w:rPr>
        <w:t>在提交完整申请材料后，有权要求</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在【1】个工作日内完成审核并答复是否同意出具保函。</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4.3采购人</w:t>
      </w:r>
      <w:r>
        <w:rPr>
          <w:rFonts w:hint="default" w:ascii="Times New Roman" w:hAnsi="Times New Roman" w:eastAsia="方正仿宋_GB2312"/>
          <w:sz w:val="24"/>
          <w:szCs w:val="32"/>
          <w:highlight w:val="none"/>
          <w:lang w:val="en-US" w:eastAsia="zh-CN"/>
        </w:rPr>
        <w:t>有权了解与保函相关的费率、担保条件、保函有效期等核心信息，</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不得隐瞒或误导。</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4.4</w:t>
      </w:r>
      <w:r>
        <w:rPr>
          <w:rFonts w:hint="default" w:ascii="Times New Roman" w:hAnsi="Times New Roman" w:eastAsia="方正仿宋_GB2312"/>
          <w:sz w:val="24"/>
          <w:szCs w:val="32"/>
          <w:highlight w:val="none"/>
          <w:lang w:val="en-US" w:eastAsia="zh-CN"/>
        </w:rPr>
        <w:t>当法院或申请保全人依据保函向</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提出索赔请求时，</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有权知悉索赔情况，并有权提供相关证据材料协助</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进行抗辩或和解。</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4.5</w:t>
      </w:r>
      <w:r>
        <w:rPr>
          <w:rFonts w:hint="default" w:ascii="Times New Roman" w:hAnsi="Times New Roman" w:eastAsia="方正仿宋_GB2312"/>
          <w:sz w:val="24"/>
          <w:szCs w:val="32"/>
          <w:highlight w:val="none"/>
          <w:lang w:val="en-US" w:eastAsia="zh-CN"/>
        </w:rPr>
        <w:t>如</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无正当理由连续【3】次拒绝为</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符合约定条件的案件出具保函，或</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出现重大违约情形，</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有权单方解除</w:t>
      </w:r>
      <w:r>
        <w:rPr>
          <w:rFonts w:hint="eastAsia" w:ascii="Times New Roman" w:hAnsi="Times New Roman" w:eastAsia="方正仿宋_GB2312"/>
          <w:sz w:val="24"/>
          <w:szCs w:val="32"/>
          <w:highlight w:val="none"/>
          <w:lang w:val="en-US" w:eastAsia="zh-CN"/>
        </w:rPr>
        <w:t>合同</w:t>
      </w:r>
      <w:r>
        <w:rPr>
          <w:rFonts w:hint="default" w:ascii="Times New Roman" w:hAnsi="Times New Roman" w:eastAsia="方正仿宋_GB2312"/>
          <w:sz w:val="24"/>
          <w:szCs w:val="32"/>
          <w:highlight w:val="none"/>
          <w:lang w:val="en-US" w:eastAsia="zh-CN"/>
        </w:rPr>
        <w:t>。</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4.6采购人</w:t>
      </w:r>
      <w:r>
        <w:rPr>
          <w:rFonts w:hint="default" w:ascii="Times New Roman" w:hAnsi="Times New Roman" w:eastAsia="方正仿宋_GB2312"/>
          <w:sz w:val="24"/>
          <w:szCs w:val="32"/>
          <w:highlight w:val="none"/>
          <w:lang w:val="en-US" w:eastAsia="zh-CN"/>
        </w:rPr>
        <w:t>在申请出具保函时，应当向</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如实、完整地提供以下材料：</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（1）起诉状或仲裁申请书；</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（2）案件基本事实及证据材料摘要；</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（3）法院要求提供的其他材料。</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保证前述材料真实、准确、完整，不隐瞒可能影响</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承保决策的重大不利事实（如案件败诉风险高、保全错误可能性大、被保全财产存在权属争议等）。</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4.7采购人</w:t>
      </w:r>
      <w:r>
        <w:rPr>
          <w:rFonts w:hint="default" w:ascii="Times New Roman" w:hAnsi="Times New Roman" w:eastAsia="方正仿宋_GB2312"/>
          <w:sz w:val="24"/>
          <w:szCs w:val="32"/>
          <w:highlight w:val="none"/>
          <w:lang w:val="en-US" w:eastAsia="zh-CN"/>
        </w:rPr>
        <w:t>应按合同约定的费率标准及支付时间，足额向</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支付保函费。</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的权利与义务</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5.1供应商</w:t>
      </w:r>
      <w:r>
        <w:rPr>
          <w:rFonts w:hint="default" w:ascii="Times New Roman" w:hAnsi="Times New Roman" w:eastAsia="方正仿宋_GB2312"/>
          <w:sz w:val="24"/>
          <w:szCs w:val="32"/>
          <w:highlight w:val="none"/>
          <w:lang w:val="en-US" w:eastAsia="zh-CN"/>
        </w:rPr>
        <w:t>有权根据自身风控标准，对</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每次提交的材料申请进行独立审核，并自主决定是否同意出具保函。</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有权拒绝为风险过高的案件提供担保，另需说明具体理由（但不得基于法律禁止的歧视性理由拒绝）。</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2</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在审核过程中，有权要求</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补充提供与案件相关且合理的材料，</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应配合提供。</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3当收到保函项下索赔请求时，</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有权独立决定是否抗辩、以何种方式抗辩、是否和解以及在何种条件下和解，但应提前通知</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并听取</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合理意见。</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4如</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提供虚假材料或出现其他严重违约情形，</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有权单方解除</w:t>
      </w:r>
      <w:r>
        <w:rPr>
          <w:rFonts w:hint="eastAsia" w:ascii="Times New Roman" w:hAnsi="Times New Roman" w:eastAsia="方正仿宋_GB2312"/>
          <w:sz w:val="24"/>
          <w:szCs w:val="32"/>
          <w:highlight w:val="none"/>
          <w:lang w:val="en-US" w:eastAsia="zh-CN"/>
        </w:rPr>
        <w:t>合同</w:t>
      </w:r>
      <w:r>
        <w:rPr>
          <w:rFonts w:hint="default" w:ascii="Times New Roman" w:hAnsi="Times New Roman" w:eastAsia="方正仿宋_GB2312"/>
          <w:sz w:val="24"/>
          <w:szCs w:val="32"/>
          <w:highlight w:val="none"/>
          <w:lang w:val="en-US" w:eastAsia="zh-CN"/>
        </w:rPr>
        <w:t>并终止为</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未来案件出具保函。</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5</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收到</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完整的保函申请材料后，应在【1】个工作日内完成审核，并告知</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审核结果。审核通过的，应同时明确保函格式、金额、期限、费率等核心条件。</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6在</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满足所有前提条件（包括但不限于提供完整材料、足额支付费用）后，</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应在【2】个工作日内向法院或</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出具正式保函，保函内容应符合申请法院的要求且不违反法律法规强制性规定。</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7</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保证所出具的保函为</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的真实意思表示，由</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合法授权人员签署并加盖公章，在法院要求的期限内持续有效，且不存在任何法律上的瑕疵或无效情形。</w:t>
      </w:r>
    </w:p>
    <w:p>
      <w:pPr>
        <w:pStyle w:val="6"/>
        <w:ind w:firstLine="480" w:firstLineChars="200"/>
        <w:rPr>
          <w:rFonts w:hint="default" w:ascii="Times New Roman" w:hAnsi="Times New Roman" w:eastAsia="方正仿宋_GB2312"/>
          <w:sz w:val="24"/>
          <w:szCs w:val="32"/>
          <w:highlight w:val="none"/>
          <w:lang w:val="en-US" w:eastAsia="zh-CN"/>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8</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对</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在合作过程中提供的案件信息、商业信息等负有保密义务，不得向任何第三方泄露，法律法规另有规定或法院依法调取的除外。</w:t>
      </w:r>
    </w:p>
    <w:p>
      <w:pPr>
        <w:numPr>
          <w:ilvl w:val="-1"/>
          <w:numId w:val="0"/>
        </w:numPr>
        <w:autoSpaceDE/>
        <w:autoSpaceDN/>
        <w:adjustRightInd/>
        <w:spacing w:afterLines="0" w:line="400" w:lineRule="exact"/>
        <w:ind w:firstLine="420" w:firstLineChars="0"/>
        <w:textAlignment w:val="baseline"/>
        <w:rPr>
          <w:rFonts w:hint="default" w:cs="Times New Roman"/>
          <w:b/>
          <w:bCs/>
          <w:highlight w:val="none"/>
        </w:rPr>
      </w:pPr>
      <w:r>
        <w:rPr>
          <w:rFonts w:hint="eastAsia" w:ascii="Times New Roman" w:hAnsi="Times New Roman" w:eastAsia="方正仿宋_GB2312"/>
          <w:sz w:val="24"/>
          <w:szCs w:val="32"/>
          <w:highlight w:val="none"/>
          <w:lang w:val="en-US" w:eastAsia="zh-CN"/>
        </w:rPr>
        <w:t>5.</w:t>
      </w:r>
      <w:r>
        <w:rPr>
          <w:rFonts w:hint="default" w:ascii="Times New Roman" w:hAnsi="Times New Roman" w:eastAsia="方正仿宋_GB2312"/>
          <w:sz w:val="24"/>
          <w:szCs w:val="32"/>
          <w:highlight w:val="none"/>
          <w:lang w:val="en-US" w:eastAsia="zh-CN"/>
        </w:rPr>
        <w:t>9、</w:t>
      </w:r>
      <w:r>
        <w:rPr>
          <w:rFonts w:hint="eastAsia" w:ascii="Times New Roman" w:hAnsi="Times New Roman" w:eastAsia="方正仿宋_GB2312"/>
          <w:sz w:val="24"/>
          <w:szCs w:val="32"/>
          <w:highlight w:val="none"/>
          <w:lang w:val="en-US" w:eastAsia="zh-CN"/>
        </w:rPr>
        <w:t>供应商</w:t>
      </w:r>
      <w:r>
        <w:rPr>
          <w:rFonts w:hint="default" w:ascii="Times New Roman" w:hAnsi="Times New Roman" w:eastAsia="方正仿宋_GB2312"/>
          <w:sz w:val="24"/>
          <w:szCs w:val="32"/>
          <w:highlight w:val="none"/>
          <w:lang w:val="en-US" w:eastAsia="zh-CN"/>
        </w:rPr>
        <w:t>向</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收取的所有费用应按照合同约定执行，不得在约定之外以任何名义向</w:t>
      </w:r>
      <w:r>
        <w:rPr>
          <w:rFonts w:hint="eastAsia" w:ascii="Times New Roman" w:hAnsi="Times New Roman" w:eastAsia="方正仿宋_GB2312"/>
          <w:sz w:val="24"/>
          <w:szCs w:val="32"/>
          <w:highlight w:val="none"/>
          <w:lang w:val="en-US" w:eastAsia="zh-CN"/>
        </w:rPr>
        <w:t>采购人</w:t>
      </w:r>
      <w:r>
        <w:rPr>
          <w:rFonts w:hint="default" w:ascii="Times New Roman" w:hAnsi="Times New Roman" w:eastAsia="方正仿宋_GB2312"/>
          <w:sz w:val="24"/>
          <w:szCs w:val="32"/>
          <w:highlight w:val="none"/>
          <w:lang w:val="en-US" w:eastAsia="zh-CN"/>
        </w:rPr>
        <w:t>额外收费。</w:t>
      </w:r>
    </w:p>
    <w:p>
      <w:pPr>
        <w:pStyle w:val="6"/>
        <w:numPr>
          <w:ilvl w:val="-1"/>
          <w:numId w:val="0"/>
        </w:numPr>
        <w:autoSpaceDE/>
        <w:autoSpaceDN/>
        <w:adjustRightInd/>
        <w:spacing w:afterLines="0" w:line="400" w:lineRule="exact"/>
        <w:ind w:firstLine="480" w:firstLineChars="200"/>
        <w:textAlignment w:val="baseline"/>
        <w:rPr>
          <w:rFonts w:hint="default" w:ascii="Times New Roman" w:hAnsi="Times New Roman" w:eastAsia="方正仿宋_GB2312" w:cs="Times New Roman"/>
          <w:b w:val="0"/>
          <w:bCs w:val="0"/>
          <w:sz w:val="24"/>
          <w:szCs w:val="32"/>
          <w:highlight w:val="none"/>
        </w:rPr>
      </w:pPr>
      <w:r>
        <w:rPr>
          <w:rFonts w:hint="default" w:ascii="Times New Roman" w:hAnsi="Times New Roman" w:eastAsia="方正仿宋_GB2312" w:cs="Times New Roman"/>
          <w:b w:val="0"/>
          <w:bCs w:val="0"/>
          <w:sz w:val="24"/>
          <w:szCs w:val="32"/>
          <w:highlight w:val="none"/>
          <w:lang w:val="en-US" w:eastAsia="zh-CN"/>
        </w:rPr>
        <w:t>6、</w:t>
      </w:r>
      <w:r>
        <w:rPr>
          <w:rFonts w:hint="default" w:ascii="Times New Roman" w:hAnsi="Times New Roman" w:eastAsia="方正仿宋_GB2312" w:cs="Times New Roman"/>
          <w:b w:val="0"/>
          <w:bCs w:val="0"/>
          <w:sz w:val="24"/>
          <w:szCs w:val="32"/>
          <w:highlight w:val="none"/>
        </w:rPr>
        <w:t>特别权利保护条款</w:t>
      </w:r>
    </w:p>
    <w:p>
      <w:pPr>
        <w:pStyle w:val="6"/>
        <w:adjustRightInd/>
        <w:spacing w:line="400" w:lineRule="exact"/>
        <w:ind w:firstLine="480" w:firstLineChars="200"/>
        <w:rPr>
          <w:rFonts w:hint="default" w:ascii="Times New Roman" w:hAnsi="Times New Roman" w:eastAsia="方正仿宋_GB2312" w:cs="Times New Roman"/>
          <w:sz w:val="24"/>
          <w:szCs w:val="32"/>
          <w:highlight w:val="none"/>
          <w:lang w:eastAsia="zh-CN"/>
        </w:rPr>
      </w:pPr>
      <w:r>
        <w:rPr>
          <w:rFonts w:hint="default" w:ascii="Times New Roman" w:hAnsi="Times New Roman" w:eastAsia="方正仿宋_GB2312" w:cs="Times New Roman"/>
          <w:sz w:val="24"/>
          <w:szCs w:val="32"/>
          <w:highlight w:val="none"/>
          <w:lang w:val="en-US" w:eastAsia="zh-CN"/>
        </w:rPr>
        <w:t>6.1</w:t>
      </w:r>
      <w:r>
        <w:rPr>
          <w:rFonts w:hint="default" w:ascii="Times New Roman" w:hAnsi="Times New Roman" w:eastAsia="方正仿宋_GB2312" w:cs="Times New Roman"/>
          <w:sz w:val="24"/>
          <w:szCs w:val="32"/>
          <w:highlight w:val="none"/>
          <w:lang w:eastAsia="zh-CN"/>
        </w:rPr>
        <w:t>快速响应义务:</w:t>
      </w:r>
      <w:r>
        <w:rPr>
          <w:rFonts w:hint="eastAsia" w:ascii="Times New Roman" w:hAnsi="Times New Roman" w:eastAsia="方正仿宋_GB2312" w:cs="Times New Roman"/>
          <w:sz w:val="24"/>
          <w:szCs w:val="32"/>
          <w:highlight w:val="none"/>
          <w:lang w:eastAsia="zh-CN"/>
        </w:rPr>
        <w:t>供应商</w:t>
      </w:r>
      <w:r>
        <w:rPr>
          <w:rFonts w:hint="default" w:ascii="Times New Roman" w:hAnsi="Times New Roman" w:eastAsia="方正仿宋_GB2312" w:cs="Times New Roman"/>
          <w:sz w:val="24"/>
          <w:szCs w:val="32"/>
          <w:highlight w:val="none"/>
          <w:lang w:eastAsia="zh-CN"/>
        </w:rPr>
        <w:t>对</w:t>
      </w:r>
      <w:r>
        <w:rPr>
          <w:rFonts w:hint="eastAsia" w:ascii="Times New Roman" w:hAnsi="Times New Roman" w:eastAsia="方正仿宋_GB2312" w:cs="Times New Roman"/>
          <w:sz w:val="24"/>
          <w:szCs w:val="32"/>
          <w:highlight w:val="none"/>
          <w:lang w:eastAsia="zh-CN"/>
        </w:rPr>
        <w:t>采购人</w:t>
      </w:r>
      <w:r>
        <w:rPr>
          <w:rFonts w:hint="default" w:ascii="Times New Roman" w:hAnsi="Times New Roman" w:eastAsia="方正仿宋_GB2312" w:cs="Times New Roman"/>
          <w:sz w:val="24"/>
          <w:szCs w:val="32"/>
          <w:highlight w:val="none"/>
          <w:lang w:eastAsia="zh-CN"/>
        </w:rPr>
        <w:t>提交的保全申请材料应在约定时限内完成审核，不得无故拖延。因</w:t>
      </w:r>
      <w:r>
        <w:rPr>
          <w:rFonts w:hint="eastAsia" w:ascii="Times New Roman" w:hAnsi="Times New Roman" w:eastAsia="方正仿宋_GB2312" w:cs="Times New Roman"/>
          <w:sz w:val="24"/>
          <w:szCs w:val="32"/>
          <w:highlight w:val="none"/>
          <w:lang w:eastAsia="zh-CN"/>
        </w:rPr>
        <w:t>供应商</w:t>
      </w:r>
      <w:r>
        <w:rPr>
          <w:rFonts w:hint="default" w:ascii="Times New Roman" w:hAnsi="Times New Roman" w:eastAsia="方正仿宋_GB2312" w:cs="Times New Roman"/>
          <w:sz w:val="24"/>
          <w:szCs w:val="32"/>
          <w:highlight w:val="none"/>
          <w:lang w:eastAsia="zh-CN"/>
        </w:rPr>
        <w:t>迟延导致</w:t>
      </w:r>
      <w:r>
        <w:rPr>
          <w:rFonts w:hint="eastAsia" w:ascii="Times New Roman" w:hAnsi="Times New Roman" w:eastAsia="方正仿宋_GB2312" w:cs="Times New Roman"/>
          <w:sz w:val="24"/>
          <w:szCs w:val="32"/>
          <w:highlight w:val="none"/>
          <w:lang w:eastAsia="zh-CN"/>
        </w:rPr>
        <w:t>采购人</w:t>
      </w:r>
      <w:r>
        <w:rPr>
          <w:rFonts w:hint="default" w:ascii="Times New Roman" w:hAnsi="Times New Roman" w:eastAsia="方正仿宋_GB2312" w:cs="Times New Roman"/>
          <w:sz w:val="24"/>
          <w:szCs w:val="32"/>
          <w:highlight w:val="none"/>
          <w:lang w:eastAsia="zh-CN"/>
        </w:rPr>
        <w:t>错失保全时机、财产被转移的，</w:t>
      </w:r>
      <w:r>
        <w:rPr>
          <w:rFonts w:hint="eastAsia" w:ascii="Times New Roman" w:hAnsi="Times New Roman" w:eastAsia="方正仿宋_GB2312" w:cs="Times New Roman"/>
          <w:sz w:val="24"/>
          <w:szCs w:val="32"/>
          <w:highlight w:val="none"/>
          <w:lang w:eastAsia="zh-CN"/>
        </w:rPr>
        <w:t>供应商</w:t>
      </w:r>
      <w:r>
        <w:rPr>
          <w:rFonts w:hint="default" w:ascii="Times New Roman" w:hAnsi="Times New Roman" w:eastAsia="方正仿宋_GB2312" w:cs="Times New Roman"/>
          <w:sz w:val="24"/>
          <w:szCs w:val="32"/>
          <w:highlight w:val="none"/>
          <w:lang w:eastAsia="zh-CN"/>
        </w:rPr>
        <w:t>应退还该笔保险费并赔偿</w:t>
      </w:r>
      <w:r>
        <w:rPr>
          <w:rFonts w:hint="eastAsia" w:ascii="Times New Roman" w:hAnsi="Times New Roman" w:eastAsia="方正仿宋_GB2312" w:cs="Times New Roman"/>
          <w:sz w:val="24"/>
          <w:szCs w:val="32"/>
          <w:highlight w:val="none"/>
          <w:lang w:eastAsia="zh-CN"/>
        </w:rPr>
        <w:t>采购人</w:t>
      </w:r>
      <w:r>
        <w:rPr>
          <w:rFonts w:hint="default" w:ascii="Times New Roman" w:hAnsi="Times New Roman" w:eastAsia="方正仿宋_GB2312" w:cs="Times New Roman"/>
          <w:sz w:val="24"/>
          <w:szCs w:val="32"/>
          <w:highlight w:val="none"/>
          <w:lang w:eastAsia="zh-CN"/>
        </w:rPr>
        <w:t>因此造成的直接损失。</w:t>
      </w:r>
    </w:p>
    <w:p>
      <w:pPr>
        <w:pStyle w:val="6"/>
        <w:adjustRightInd/>
        <w:spacing w:line="400" w:lineRule="exact"/>
        <w:ind w:firstLine="480" w:firstLineChars="200"/>
        <w:rPr>
          <w:rFonts w:hint="default" w:ascii="Times New Roman" w:hAnsi="Times New Roman" w:eastAsia="方正仿宋_GB2312" w:cs="Times New Roman"/>
          <w:sz w:val="24"/>
          <w:szCs w:val="32"/>
          <w:highlight w:val="none"/>
          <w:lang w:eastAsia="zh-CN"/>
        </w:rPr>
      </w:pPr>
      <w:r>
        <w:rPr>
          <w:rFonts w:hint="default" w:ascii="Times New Roman" w:hAnsi="Times New Roman" w:eastAsia="方正仿宋_GB2312" w:cs="Times New Roman"/>
          <w:sz w:val="24"/>
          <w:szCs w:val="32"/>
          <w:highlight w:val="none"/>
          <w:lang w:val="en-US" w:eastAsia="zh-CN"/>
        </w:rPr>
        <w:t>6.2</w:t>
      </w:r>
      <w:r>
        <w:rPr>
          <w:rFonts w:hint="default" w:ascii="Times New Roman" w:hAnsi="Times New Roman" w:eastAsia="方正仿宋_GB2312" w:cs="Times New Roman"/>
          <w:sz w:val="24"/>
          <w:szCs w:val="32"/>
          <w:highlight w:val="none"/>
          <w:lang w:eastAsia="zh-CN"/>
        </w:rPr>
        <w:t>索赔抗辩协作义务:如被保全人因保全错误向法院起诉要求赔偿，</w:t>
      </w:r>
      <w:r>
        <w:rPr>
          <w:rFonts w:hint="eastAsia" w:ascii="Times New Roman" w:hAnsi="Times New Roman" w:eastAsia="方正仿宋_GB2312" w:cs="Times New Roman"/>
          <w:sz w:val="24"/>
          <w:szCs w:val="32"/>
          <w:highlight w:val="none"/>
          <w:lang w:eastAsia="zh-CN"/>
        </w:rPr>
        <w:t>供应商</w:t>
      </w:r>
      <w:r>
        <w:rPr>
          <w:rFonts w:hint="default" w:ascii="Times New Roman" w:hAnsi="Times New Roman" w:eastAsia="方正仿宋_GB2312" w:cs="Times New Roman"/>
          <w:sz w:val="24"/>
          <w:szCs w:val="32"/>
          <w:highlight w:val="none"/>
          <w:lang w:eastAsia="zh-CN"/>
        </w:rPr>
        <w:t>应积极协助</w:t>
      </w:r>
      <w:r>
        <w:rPr>
          <w:rFonts w:hint="eastAsia" w:ascii="Times New Roman" w:hAnsi="Times New Roman" w:eastAsia="方正仿宋_GB2312" w:cs="Times New Roman"/>
          <w:sz w:val="24"/>
          <w:szCs w:val="32"/>
          <w:highlight w:val="none"/>
          <w:lang w:eastAsia="zh-CN"/>
        </w:rPr>
        <w:t>采购人</w:t>
      </w:r>
      <w:r>
        <w:rPr>
          <w:rFonts w:hint="default" w:ascii="Times New Roman" w:hAnsi="Times New Roman" w:eastAsia="方正仿宋_GB2312" w:cs="Times New Roman"/>
          <w:sz w:val="24"/>
          <w:szCs w:val="32"/>
          <w:highlight w:val="none"/>
          <w:lang w:eastAsia="zh-CN"/>
        </w:rPr>
        <w:t>进行抗辩，并及时提供保险理赔方面的专业意见。</w:t>
      </w:r>
    </w:p>
    <w:p>
      <w:pPr>
        <w:pStyle w:val="6"/>
        <w:adjustRightInd/>
        <w:spacing w:line="400" w:lineRule="exact"/>
        <w:ind w:firstLine="480" w:firstLineChars="200"/>
        <w:rPr>
          <w:rFonts w:hint="default" w:ascii="Times New Roman" w:hAnsi="Times New Roman" w:eastAsia="方正仿宋_GB2312" w:cs="Times New Roman"/>
          <w:sz w:val="24"/>
          <w:szCs w:val="32"/>
          <w:highlight w:val="none"/>
          <w:lang w:eastAsia="zh-CN"/>
        </w:rPr>
      </w:pPr>
      <w:r>
        <w:rPr>
          <w:rFonts w:hint="default" w:ascii="Times New Roman" w:hAnsi="Times New Roman" w:eastAsia="方正仿宋_GB2312" w:cs="Times New Roman"/>
          <w:sz w:val="24"/>
          <w:szCs w:val="32"/>
          <w:highlight w:val="none"/>
          <w:lang w:val="en-US" w:eastAsia="zh-CN"/>
        </w:rPr>
        <w:t>6.3</w:t>
      </w:r>
      <w:r>
        <w:rPr>
          <w:rFonts w:hint="default" w:ascii="Times New Roman" w:hAnsi="Times New Roman" w:eastAsia="方正仿宋_GB2312" w:cs="Times New Roman"/>
          <w:sz w:val="24"/>
          <w:szCs w:val="32"/>
          <w:highlight w:val="none"/>
          <w:lang w:eastAsia="zh-CN"/>
        </w:rPr>
        <w:t>无免赔额与先行赔付条款:</w:t>
      </w:r>
      <w:r>
        <w:rPr>
          <w:rFonts w:hint="eastAsia" w:ascii="Times New Roman" w:hAnsi="Times New Roman" w:eastAsia="方正仿宋_GB2312"/>
          <w:sz w:val="24"/>
          <w:szCs w:val="32"/>
          <w:highlight w:val="none"/>
          <w:lang w:val="en-US" w:eastAsia="zh-CN"/>
        </w:rPr>
        <w:t>合同</w:t>
      </w:r>
      <w:r>
        <w:rPr>
          <w:rFonts w:hint="default" w:ascii="Times New Roman" w:hAnsi="Times New Roman" w:eastAsia="方正仿宋_GB2312" w:cs="Times New Roman"/>
          <w:sz w:val="24"/>
          <w:szCs w:val="32"/>
          <w:highlight w:val="none"/>
          <w:lang w:eastAsia="zh-CN"/>
        </w:rPr>
        <w:t>项下保函不设置免赔额。经法院生效判决认定</w:t>
      </w:r>
      <w:r>
        <w:rPr>
          <w:rFonts w:hint="eastAsia" w:ascii="Times New Roman" w:hAnsi="Times New Roman" w:eastAsia="方正仿宋_GB2312" w:cs="Times New Roman"/>
          <w:sz w:val="24"/>
          <w:szCs w:val="32"/>
          <w:highlight w:val="none"/>
          <w:lang w:eastAsia="zh-CN"/>
        </w:rPr>
        <w:t>采购人</w:t>
      </w:r>
      <w:r>
        <w:rPr>
          <w:rFonts w:hint="default" w:ascii="Times New Roman" w:hAnsi="Times New Roman" w:eastAsia="方正仿宋_GB2312" w:cs="Times New Roman"/>
          <w:sz w:val="24"/>
          <w:szCs w:val="32"/>
          <w:highlight w:val="none"/>
          <w:lang w:eastAsia="zh-CN"/>
        </w:rPr>
        <w:t>应承担赔偿责任后，</w:t>
      </w:r>
      <w:r>
        <w:rPr>
          <w:rFonts w:hint="eastAsia" w:ascii="Times New Roman" w:hAnsi="Times New Roman" w:eastAsia="方正仿宋_GB2312" w:cs="Times New Roman"/>
          <w:sz w:val="24"/>
          <w:szCs w:val="32"/>
          <w:highlight w:val="none"/>
          <w:lang w:eastAsia="zh-CN"/>
        </w:rPr>
        <w:t>供应商</w:t>
      </w:r>
      <w:r>
        <w:rPr>
          <w:rFonts w:hint="default" w:ascii="Times New Roman" w:hAnsi="Times New Roman" w:eastAsia="方正仿宋_GB2312" w:cs="Times New Roman"/>
          <w:sz w:val="24"/>
          <w:szCs w:val="32"/>
          <w:highlight w:val="none"/>
          <w:lang w:eastAsia="zh-CN"/>
        </w:rPr>
        <w:t>应在判决生效后5个工作日内直接向法院或指定权利人支付，无需</w:t>
      </w:r>
      <w:r>
        <w:rPr>
          <w:rFonts w:hint="eastAsia" w:ascii="Times New Roman" w:hAnsi="Times New Roman" w:eastAsia="方正仿宋_GB2312" w:cs="Times New Roman"/>
          <w:sz w:val="24"/>
          <w:szCs w:val="32"/>
          <w:highlight w:val="none"/>
          <w:lang w:eastAsia="zh-CN"/>
        </w:rPr>
        <w:t>采购人</w:t>
      </w:r>
      <w:r>
        <w:rPr>
          <w:rFonts w:hint="default" w:ascii="Times New Roman" w:hAnsi="Times New Roman" w:eastAsia="方正仿宋_GB2312" w:cs="Times New Roman"/>
          <w:sz w:val="24"/>
          <w:szCs w:val="32"/>
          <w:highlight w:val="none"/>
          <w:lang w:eastAsia="zh-CN"/>
        </w:rPr>
        <w:t>先行支付。</w:t>
      </w:r>
    </w:p>
    <w:p>
      <w:pPr>
        <w:pStyle w:val="6"/>
        <w:ind w:firstLine="480" w:firstLineChars="200"/>
        <w:rPr>
          <w:rFonts w:hint="default" w:ascii="Times New Roman" w:hAnsi="Times New Roman" w:eastAsia="方正仿宋_GB2312"/>
          <w:sz w:val="24"/>
          <w:szCs w:val="32"/>
          <w:highlight w:val="none"/>
          <w:lang w:val="en-US" w:eastAsia="zh-CN"/>
        </w:rPr>
      </w:pPr>
      <w:r>
        <w:rPr>
          <w:rFonts w:hint="default" w:ascii="Times New Roman" w:hAnsi="Times New Roman" w:eastAsia="方正仿宋_GB2312"/>
          <w:sz w:val="24"/>
          <w:szCs w:val="32"/>
          <w:highlight w:val="none"/>
          <w:lang w:val="en-US" w:eastAsia="zh-CN"/>
        </w:rPr>
        <w:t>6.4</w:t>
      </w:r>
      <w:r>
        <w:rPr>
          <w:rFonts w:hint="default" w:ascii="Times New Roman" w:hAnsi="Times New Roman" w:eastAsia="方正仿宋_GB2312"/>
          <w:sz w:val="24"/>
          <w:szCs w:val="32"/>
          <w:highlight w:val="none"/>
          <w:lang w:eastAsia="zh-CN"/>
        </w:rPr>
        <w:t>保函有效期自被保险人向法院提出诉讼财产保全申请之日起至保全损害之债诉讼时效届满时终止</w:t>
      </w:r>
    </w:p>
    <w:p>
      <w:pPr>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sz w:val="24"/>
          <w:szCs w:val="32"/>
          <w:highlight w:val="none"/>
        </w:rPr>
        <w:br w:type="page"/>
      </w:r>
    </w:p>
    <w:p>
      <w:pPr>
        <w:rPr>
          <w:rFonts w:hint="default" w:ascii="Times New Roman" w:hAnsi="Times New Roman" w:eastAsia="方正黑体" w:cs="Times New Roman"/>
          <w:sz w:val="32"/>
          <w:szCs w:val="40"/>
          <w:highlight w:val="none"/>
          <w:lang w:val="en-US" w:eastAsia="zh-CN"/>
        </w:rPr>
      </w:pPr>
      <w:r>
        <w:rPr>
          <w:rFonts w:hint="default" w:ascii="Times New Roman" w:hAnsi="Times New Roman" w:eastAsia="方正黑体" w:cs="Times New Roman"/>
          <w:sz w:val="32"/>
          <w:szCs w:val="40"/>
          <w:highlight w:val="none"/>
          <w:lang w:val="en-US" w:eastAsia="zh-CN"/>
        </w:rPr>
        <w:t>附件</w:t>
      </w:r>
      <w:r>
        <w:rPr>
          <w:rFonts w:hint="eastAsia" w:ascii="Times New Roman" w:hAnsi="Times New Roman" w:eastAsia="方正黑体" w:cs="Times New Roman"/>
          <w:sz w:val="32"/>
          <w:szCs w:val="40"/>
          <w:highlight w:val="none"/>
          <w:lang w:val="en-US" w:eastAsia="zh-CN"/>
        </w:rPr>
        <w:t>2</w:t>
      </w:r>
      <w:r>
        <w:rPr>
          <w:rFonts w:hint="default" w:ascii="Times New Roman" w:hAnsi="Times New Roman" w:eastAsia="方正黑体" w:cs="Times New Roman"/>
          <w:sz w:val="32"/>
          <w:szCs w:val="40"/>
          <w:highlight w:val="none"/>
          <w:lang w:val="en-US" w:eastAsia="zh-CN"/>
        </w:rPr>
        <w:t>：</w:t>
      </w:r>
      <w:r>
        <w:rPr>
          <w:rFonts w:hint="eastAsia" w:ascii="Times New Roman" w:hAnsi="Times New Roman" w:eastAsia="方正黑体" w:cs="Times New Roman"/>
          <w:sz w:val="32"/>
          <w:szCs w:val="40"/>
          <w:highlight w:val="none"/>
          <w:lang w:val="en-US" w:eastAsia="zh-CN"/>
        </w:rPr>
        <w:t>比价规则</w:t>
      </w:r>
    </w:p>
    <w:p>
      <w:pPr>
        <w:pStyle w:val="4"/>
        <w:tabs>
          <w:tab w:val="left" w:pos="0"/>
        </w:tabs>
        <w:spacing w:line="360" w:lineRule="auto"/>
        <w:ind w:left="0" w:firstLine="0"/>
        <w:jc w:val="both"/>
        <w:rPr>
          <w:rFonts w:hint="default" w:ascii="Times New Roman" w:hAnsi="Times New Roman" w:eastAsia="方正仿宋_GB2312" w:cs="Times New Roman"/>
          <w:b w:val="0"/>
          <w:bCs w:val="0"/>
          <w:kern w:val="2"/>
          <w:sz w:val="24"/>
          <w:szCs w:val="32"/>
          <w:highlight w:val="none"/>
          <w:lang w:val="en-US" w:eastAsia="zh-CN" w:bidi="ar-SA"/>
        </w:rPr>
      </w:pPr>
    </w:p>
    <w:p>
      <w:pPr>
        <w:pStyle w:val="4"/>
        <w:tabs>
          <w:tab w:val="left" w:pos="0"/>
        </w:tabs>
        <w:spacing w:line="360" w:lineRule="auto"/>
        <w:ind w:left="0" w:firstLine="0"/>
        <w:jc w:val="both"/>
        <w:rPr>
          <w:rFonts w:hint="default" w:ascii="Times New Roman" w:hAnsi="Times New Roman" w:eastAsia="方正仿宋_GB2312" w:cs="Times New Roman"/>
          <w:b w:val="0"/>
          <w:bCs w:val="0"/>
          <w:kern w:val="2"/>
          <w:sz w:val="24"/>
          <w:szCs w:val="24"/>
          <w:highlight w:val="none"/>
          <w:lang w:val="en-US" w:eastAsia="zh-CN" w:bidi="ar-SA"/>
        </w:rPr>
      </w:pPr>
      <w:r>
        <w:rPr>
          <w:rFonts w:hint="default" w:ascii="Times New Roman" w:hAnsi="Times New Roman" w:eastAsia="方正仿宋_GB2312" w:cs="Times New Roman"/>
          <w:b w:val="0"/>
          <w:bCs w:val="0"/>
          <w:kern w:val="2"/>
          <w:sz w:val="24"/>
          <w:szCs w:val="24"/>
          <w:highlight w:val="none"/>
          <w:lang w:val="en-US" w:eastAsia="zh-CN" w:bidi="ar-SA"/>
        </w:rPr>
        <w:t>比价规则：所有合格的潜在供应商（即满足采购公告中的资格条件，其报价文件对采购需求做了实质性响应的供应商），按报价得分从高到低排序，得分最高的供应商为成交供应商。若出现报价得分相同的情况，则在得分相同的供应商中，随机抽取一家作为成交供应商（具体随机方式由采购人现场确定并记录）。</w:t>
      </w:r>
    </w:p>
    <w:p>
      <w:pPr>
        <w:spacing w:line="360" w:lineRule="auto"/>
        <w:jc w:val="both"/>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1、报价要求</w:t>
      </w:r>
    </w:p>
    <w:p>
      <w:pPr>
        <w:spacing w:line="360" w:lineRule="auto"/>
        <w:jc w:val="both"/>
        <w:rPr>
          <w:rFonts w:hint="default" w:ascii="仿宋" w:hAnsi="仿宋" w:eastAsia="仿宋" w:cs="仿宋"/>
          <w:b w:val="0"/>
          <w:bCs w:val="0"/>
          <w:color w:val="auto"/>
          <w:kern w:val="2"/>
          <w:sz w:val="24"/>
          <w:szCs w:val="24"/>
          <w:highlight w:val="none"/>
          <w:lang w:val="en-US" w:eastAsia="zh-CN" w:bidi="ar-SA"/>
        </w:rPr>
      </w:pPr>
      <w:r>
        <w:rPr>
          <w:rFonts w:hint="default" w:ascii="仿宋" w:hAnsi="仿宋" w:eastAsia="仿宋" w:cs="仿宋"/>
          <w:b w:val="0"/>
          <w:bCs w:val="0"/>
          <w:color w:val="auto"/>
          <w:kern w:val="2"/>
          <w:sz w:val="24"/>
          <w:szCs w:val="24"/>
          <w:highlight w:val="none"/>
          <w:lang w:val="en-US" w:eastAsia="zh-CN" w:bidi="ar-SA"/>
        </w:rPr>
        <w:t>供应商须按下表填报最低收费标准及各保全金额区间的费率（费率以“万分之X”的数值X填报，例如万分之五则填5）</w:t>
      </w:r>
    </w:p>
    <w:tbl>
      <w:tblPr>
        <w:tblStyle w:val="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29"/>
        <w:gridCol w:w="3564"/>
        <w:gridCol w:w="1091"/>
        <w:gridCol w:w="1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3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保全金额</w:t>
            </w:r>
          </w:p>
        </w:tc>
        <w:tc>
          <w:tcPr>
            <w:tcW w:w="3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费率(保费)</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default" w:ascii="Times New Roman" w:hAnsi="Times New Roman" w:eastAsia="方正仿宋_GB2312" w:cs="Times New Roman"/>
                <w:i w:val="0"/>
                <w:iCs w:val="0"/>
                <w:kern w:val="2"/>
                <w:sz w:val="21"/>
                <w:szCs w:val="21"/>
                <w:highlight w:val="none"/>
                <w:u w:val="none"/>
                <w:lang w:val="en-US" w:eastAsia="zh-CN" w:bidi="ar-SA"/>
              </w:rPr>
              <w:t>权重</w:t>
            </w:r>
            <w:r>
              <w:rPr>
                <w:rFonts w:hint="eastAsia" w:ascii="Times New Roman" w:hAnsi="Times New Roman" w:eastAsia="方正仿宋_GB2312" w:cs="Times New Roman"/>
                <w:i w:val="0"/>
                <w:iCs w:val="0"/>
                <w:kern w:val="2"/>
                <w:sz w:val="21"/>
                <w:szCs w:val="21"/>
                <w:highlight w:val="none"/>
                <w:u w:val="none"/>
                <w:lang w:val="en-US" w:eastAsia="zh-CN" w:bidi="ar-SA"/>
              </w:rPr>
              <w:t>（</w:t>
            </w:r>
            <w:r>
              <w:rPr>
                <w:rFonts w:hint="default" w:ascii="Times New Roman" w:hAnsi="Times New Roman" w:eastAsia="方正仿宋_GB2312" w:cs="Times New Roman"/>
                <w:i w:val="0"/>
                <w:iCs w:val="0"/>
                <w:kern w:val="2"/>
                <w:sz w:val="21"/>
                <w:szCs w:val="21"/>
                <w:highlight w:val="none"/>
                <w:u w:val="none"/>
                <w:lang w:val="en-US" w:eastAsia="zh-CN" w:bidi="ar-SA"/>
              </w:rPr>
              <w:t>%</w:t>
            </w:r>
            <w:r>
              <w:rPr>
                <w:rFonts w:hint="eastAsia" w:ascii="Times New Roman" w:hAnsi="Times New Roman" w:eastAsia="方正仿宋_GB2312" w:cs="Times New Roman"/>
                <w:i w:val="0"/>
                <w:iCs w:val="0"/>
                <w:kern w:val="2"/>
                <w:sz w:val="21"/>
                <w:szCs w:val="21"/>
                <w:highlight w:val="none"/>
                <w:u w:val="none"/>
                <w:lang w:val="en-US" w:eastAsia="zh-CN" w:bidi="ar-SA"/>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单项限价</w:t>
            </w:r>
          </w:p>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（保费）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3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lang w:val="en-US" w:eastAsia="zh-CN"/>
              </w:rPr>
            </w:pPr>
            <w:r>
              <w:rPr>
                <w:rFonts w:hint="eastAsia" w:ascii="Times New Roman" w:hAnsi="Times New Roman" w:eastAsia="方正仿宋_GB2312" w:cs="Times New Roman"/>
                <w:i w:val="0"/>
                <w:iCs w:val="0"/>
                <w:sz w:val="21"/>
                <w:szCs w:val="21"/>
                <w:highlight w:val="none"/>
                <w:u w:val="none"/>
                <w:lang w:val="en-US" w:eastAsia="zh-CN"/>
              </w:rPr>
              <w:t>最低收费标准</w:t>
            </w:r>
          </w:p>
        </w:tc>
        <w:tc>
          <w:tcPr>
            <w:tcW w:w="3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sz w:val="21"/>
                <w:szCs w:val="21"/>
                <w:highlight w:val="none"/>
                <w:u w:val="none"/>
                <w:lang w:val="en-US" w:eastAsia="zh-CN"/>
              </w:rPr>
            </w:pPr>
            <w:r>
              <w:rPr>
                <w:rFonts w:hint="eastAsia" w:ascii="Times New Roman" w:hAnsi="Times New Roman" w:eastAsia="方正仿宋_GB2312" w:cs="Times New Roman"/>
                <w:i w:val="0"/>
                <w:iCs w:val="0"/>
                <w:sz w:val="21"/>
                <w:szCs w:val="21"/>
                <w:highlight w:val="none"/>
                <w:u w:val="none"/>
                <w:lang w:val="en-US" w:eastAsia="zh-CN"/>
              </w:rPr>
              <w:t>[  X  ]元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5</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3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default" w:ascii="Times New Roman" w:hAnsi="Times New Roman" w:eastAsia="方正仿宋_GB2312" w:cs="Times New Roman"/>
                <w:i w:val="0"/>
                <w:iCs w:val="0"/>
                <w:kern w:val="2"/>
                <w:sz w:val="21"/>
                <w:szCs w:val="21"/>
                <w:highlight w:val="none"/>
                <w:u w:val="none"/>
                <w:lang w:val="en-US" w:eastAsia="zh-CN" w:bidi="ar-SA"/>
              </w:rPr>
              <w:t>100万以下</w:t>
            </w:r>
          </w:p>
        </w:tc>
        <w:tc>
          <w:tcPr>
            <w:tcW w:w="3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sz w:val="21"/>
                <w:szCs w:val="21"/>
                <w:highlight w:val="none"/>
                <w:u w:val="none"/>
                <w:lang w:val="en-US" w:eastAsia="zh-CN"/>
              </w:rPr>
              <w:t>[  X  ]</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20</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kern w:val="2"/>
                <w:sz w:val="21"/>
                <w:szCs w:val="21"/>
                <w:highlight w:val="none"/>
                <w:u w:val="none"/>
                <w:lang w:val="en-US" w:eastAsia="zh-CN" w:bidi="ar-SA"/>
              </w:rPr>
              <w:t>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3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100万-200万</w:t>
            </w:r>
          </w:p>
        </w:tc>
        <w:tc>
          <w:tcPr>
            <w:tcW w:w="3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sz w:val="21"/>
                <w:szCs w:val="21"/>
                <w:highlight w:val="none"/>
                <w:u w:val="none"/>
                <w:lang w:val="en-US"/>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sz w:val="21"/>
                <w:szCs w:val="21"/>
                <w:highlight w:val="none"/>
                <w:u w:val="none"/>
                <w:lang w:val="en-US" w:eastAsia="zh-CN"/>
              </w:rPr>
              <w:t>[  X  ]</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30</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保全金额的万分之七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3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200万-1000万</w:t>
            </w:r>
          </w:p>
        </w:tc>
        <w:tc>
          <w:tcPr>
            <w:tcW w:w="3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sz w:val="21"/>
                <w:szCs w:val="21"/>
                <w:highlight w:val="none"/>
                <w:u w:val="none"/>
                <w:lang w:val="en-US" w:eastAsia="zh-CN"/>
              </w:rPr>
              <w:t>[  X  ]</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40</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eastAsia"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保全金额的万分之六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3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1000万-5亿</w:t>
            </w:r>
          </w:p>
        </w:tc>
        <w:tc>
          <w:tcPr>
            <w:tcW w:w="3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sz w:val="21"/>
                <w:szCs w:val="21"/>
                <w:highlight w:val="none"/>
                <w:u w:val="none"/>
                <w:lang w:val="en-US" w:eastAsia="zh-CN"/>
              </w:rPr>
              <w:t>[  X  ]</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5</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eastAsia" w:ascii="Times New Roman" w:hAnsi="Times New Roman" w:eastAsia="方正仿宋_GB2312" w:cs="Times New Roman"/>
                <w:i w:val="0"/>
                <w:iCs w:val="0"/>
                <w:kern w:val="2"/>
                <w:sz w:val="21"/>
                <w:szCs w:val="21"/>
                <w:highlight w:val="none"/>
                <w:u w:val="none"/>
                <w:lang w:val="en-US" w:eastAsia="zh-CN" w:bidi="ar-SA"/>
              </w:rPr>
              <w:t>保全金额的万分之五</w:t>
            </w:r>
          </w:p>
        </w:tc>
      </w:tr>
    </w:tbl>
    <w:p>
      <w:pPr>
        <w:pStyle w:val="2"/>
        <w:spacing w:line="360" w:lineRule="auto"/>
        <w:rPr>
          <w:rFonts w:hint="default" w:ascii="仿宋" w:hAnsi="仿宋" w:eastAsia="仿宋" w:cs="仿宋"/>
          <w:b w:val="0"/>
          <w:bCs w:val="0"/>
          <w:color w:val="auto"/>
          <w:sz w:val="24"/>
          <w:highlight w:val="none"/>
          <w:lang w:val="en-US" w:eastAsia="zh-CN"/>
        </w:rPr>
      </w:pPr>
      <w:r>
        <w:rPr>
          <w:rFonts w:hint="default" w:ascii="仿宋" w:hAnsi="仿宋" w:eastAsia="仿宋" w:cs="仿宋"/>
          <w:b w:val="0"/>
          <w:bCs w:val="0"/>
          <w:color w:val="auto"/>
          <w:sz w:val="24"/>
          <w:highlight w:val="none"/>
          <w:lang w:val="en-US" w:eastAsia="zh-CN"/>
        </w:rPr>
        <w:t>注：最低收费标准适用于保全金额极小的案件（如不足1万元），按件收取，不另计费率。各区间费率按实际保全金额乘以对应费率计算保费。</w:t>
      </w:r>
    </w:p>
    <w:p>
      <w:pPr>
        <w:pStyle w:val="2"/>
        <w:spacing w:line="360" w:lineRule="auto"/>
        <w:rPr>
          <w:rFonts w:hint="default"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供应商对应项报价不得高于对应项单项限价，否则供应商报价无效，其报价文件作无效处理。</w:t>
      </w:r>
    </w:p>
    <w:p>
      <w:pPr>
        <w:pStyle w:val="4"/>
        <w:tabs>
          <w:tab w:val="left" w:pos="0"/>
        </w:tabs>
        <w:spacing w:line="360" w:lineRule="auto"/>
        <w:ind w:left="1606" w:hanging="1606"/>
        <w:jc w:val="both"/>
        <w:rPr>
          <w:rFonts w:hint="default" w:ascii="仿宋" w:hAnsi="仿宋" w:eastAsia="仿宋" w:cs="仿宋"/>
          <w:b w:val="0"/>
          <w:bCs w:val="0"/>
          <w:color w:val="auto"/>
          <w:kern w:val="2"/>
          <w:sz w:val="24"/>
          <w:szCs w:val="24"/>
          <w:highlight w:val="none"/>
          <w:lang w:val="en-US" w:eastAsia="zh-CN" w:bidi="ar-SA"/>
        </w:rPr>
      </w:pPr>
      <w:r>
        <w:rPr>
          <w:rFonts w:hint="default" w:ascii="仿宋" w:hAnsi="仿宋" w:eastAsia="仿宋" w:cs="仿宋"/>
          <w:b w:val="0"/>
          <w:bCs w:val="0"/>
          <w:color w:val="auto"/>
          <w:kern w:val="2"/>
          <w:sz w:val="24"/>
          <w:szCs w:val="24"/>
          <w:highlight w:val="none"/>
          <w:lang w:val="en-US" w:eastAsia="zh-CN" w:bidi="ar-SA"/>
        </w:rPr>
        <w:t>2、</w:t>
      </w:r>
      <w:r>
        <w:rPr>
          <w:rFonts w:hint="eastAsia" w:ascii="仿宋" w:hAnsi="仿宋" w:eastAsia="仿宋" w:cs="仿宋"/>
          <w:b w:val="0"/>
          <w:bCs w:val="0"/>
          <w:color w:val="auto"/>
          <w:kern w:val="2"/>
          <w:sz w:val="24"/>
          <w:szCs w:val="24"/>
          <w:highlight w:val="none"/>
          <w:lang w:val="en-US" w:eastAsia="zh-CN" w:bidi="ar-SA"/>
        </w:rPr>
        <w:t>得分计算</w:t>
      </w:r>
    </w:p>
    <w:p>
      <w:pPr>
        <w:pStyle w:val="4"/>
        <w:tabs>
          <w:tab w:val="left" w:pos="0"/>
        </w:tabs>
        <w:spacing w:line="360" w:lineRule="auto"/>
        <w:ind w:left="0" w:firstLine="0"/>
        <w:jc w:val="both"/>
        <w:rPr>
          <w:rFonts w:hint="default"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最终报价得分=最低收费标准部分得分（A）+费率报价部分得分（B）</w:t>
      </w:r>
    </w:p>
    <w:p>
      <w:pPr>
        <w:pStyle w:val="4"/>
        <w:tabs>
          <w:tab w:val="left" w:pos="0"/>
        </w:tabs>
        <w:spacing w:line="360" w:lineRule="auto"/>
        <w:ind w:left="0" w:firstLine="0"/>
        <w:jc w:val="both"/>
        <w:rPr>
          <w:rFonts w:hint="default"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（1）最低收费标准部分得分标准（A）</w:t>
      </w:r>
    </w:p>
    <w:p>
      <w:pPr>
        <w:pStyle w:val="4"/>
        <w:tabs>
          <w:tab w:val="left" w:pos="0"/>
        </w:tabs>
        <w:spacing w:line="360" w:lineRule="auto"/>
        <w:ind w:left="0" w:firstLine="0"/>
        <w:jc w:val="both"/>
        <w:rPr>
          <w:rFonts w:hint="default" w:ascii="仿宋" w:hAnsi="仿宋" w:eastAsia="仿宋" w:cs="仿宋"/>
          <w:b w:val="0"/>
          <w:bCs w:val="0"/>
          <w:color w:val="auto"/>
          <w:kern w:val="2"/>
          <w:sz w:val="24"/>
          <w:szCs w:val="24"/>
          <w:highlight w:val="none"/>
          <w:lang w:val="en-US" w:eastAsia="zh-CN" w:bidi="ar-SA"/>
        </w:rPr>
      </w:pPr>
      <w:r>
        <w:rPr>
          <w:rFonts w:hint="default" w:ascii="仿宋" w:hAnsi="仿宋" w:eastAsia="仿宋" w:cs="仿宋"/>
          <w:b w:val="0"/>
          <w:bCs w:val="0"/>
          <w:color w:val="auto"/>
          <w:kern w:val="2"/>
          <w:sz w:val="24"/>
          <w:szCs w:val="24"/>
          <w:highlight w:val="none"/>
          <w:lang w:val="en-US" w:eastAsia="zh-CN" w:bidi="ar-SA"/>
        </w:rPr>
        <w:t>所有合格</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（即通过资格评审和符合性评审的</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）的报价的</w:t>
      </w:r>
      <w:r>
        <w:rPr>
          <w:rFonts w:hint="eastAsia" w:ascii="仿宋" w:hAnsi="仿宋" w:eastAsia="仿宋" w:cs="仿宋"/>
          <w:b w:val="0"/>
          <w:bCs w:val="0"/>
          <w:color w:val="auto"/>
          <w:kern w:val="2"/>
          <w:sz w:val="24"/>
          <w:szCs w:val="24"/>
          <w:highlight w:val="none"/>
          <w:lang w:val="en-US" w:eastAsia="zh-CN" w:bidi="ar-SA"/>
        </w:rPr>
        <w:t>最低价</w:t>
      </w:r>
      <w:r>
        <w:rPr>
          <w:rFonts w:hint="default" w:ascii="仿宋" w:hAnsi="仿宋" w:eastAsia="仿宋" w:cs="仿宋"/>
          <w:b w:val="0"/>
          <w:bCs w:val="0"/>
          <w:color w:val="auto"/>
          <w:kern w:val="2"/>
          <w:sz w:val="24"/>
          <w:szCs w:val="24"/>
          <w:highlight w:val="none"/>
          <w:lang w:val="en-US" w:eastAsia="zh-CN" w:bidi="ar-SA"/>
        </w:rPr>
        <w:t>作为基准价，</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的报价等于基准价得满分</w:t>
      </w:r>
      <w:r>
        <w:rPr>
          <w:rFonts w:hint="eastAsia" w:ascii="仿宋" w:hAnsi="仿宋" w:eastAsia="仿宋" w:cs="仿宋"/>
          <w:b w:val="0"/>
          <w:bCs w:val="0"/>
          <w:color w:val="auto"/>
          <w:kern w:val="2"/>
          <w:sz w:val="24"/>
          <w:szCs w:val="24"/>
          <w:highlight w:val="none"/>
          <w:lang w:val="en-US" w:eastAsia="zh-CN" w:bidi="ar-SA"/>
        </w:rPr>
        <w:t>100</w:t>
      </w:r>
      <w:r>
        <w:rPr>
          <w:rFonts w:hint="default" w:ascii="仿宋" w:hAnsi="仿宋" w:eastAsia="仿宋" w:cs="仿宋"/>
          <w:b w:val="0"/>
          <w:bCs w:val="0"/>
          <w:color w:val="auto"/>
          <w:kern w:val="2"/>
          <w:sz w:val="24"/>
          <w:szCs w:val="24"/>
          <w:highlight w:val="none"/>
          <w:lang w:val="en-US" w:eastAsia="zh-CN" w:bidi="ar-SA"/>
        </w:rPr>
        <w:t>分。其余</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的报价与基准价相比，每高于基准价1%的扣</w:t>
      </w:r>
      <w:r>
        <w:rPr>
          <w:rFonts w:hint="eastAsia" w:ascii="仿宋" w:hAnsi="仿宋" w:eastAsia="仿宋" w:cs="仿宋"/>
          <w:b w:val="0"/>
          <w:bCs w:val="0"/>
          <w:color w:val="auto"/>
          <w:kern w:val="2"/>
          <w:sz w:val="24"/>
          <w:szCs w:val="24"/>
          <w:highlight w:val="none"/>
          <w:lang w:val="en-US" w:eastAsia="zh-CN" w:bidi="ar-SA"/>
        </w:rPr>
        <w:t>1</w:t>
      </w:r>
      <w:r>
        <w:rPr>
          <w:rFonts w:hint="default" w:ascii="仿宋" w:hAnsi="仿宋" w:eastAsia="仿宋" w:cs="仿宋"/>
          <w:b w:val="0"/>
          <w:bCs w:val="0"/>
          <w:color w:val="auto"/>
          <w:kern w:val="2"/>
          <w:sz w:val="24"/>
          <w:szCs w:val="24"/>
          <w:highlight w:val="none"/>
          <w:lang w:val="en-US" w:eastAsia="zh-CN" w:bidi="ar-SA"/>
        </w:rPr>
        <w:t>分</w:t>
      </w:r>
      <w:r>
        <w:rPr>
          <w:rFonts w:hint="eastAsia" w:ascii="仿宋" w:hAnsi="仿宋" w:eastAsia="仿宋" w:cs="仿宋"/>
          <w:b w:val="0"/>
          <w:bCs w:val="0"/>
          <w:color w:val="auto"/>
          <w:kern w:val="2"/>
          <w:sz w:val="24"/>
          <w:szCs w:val="24"/>
          <w:highlight w:val="none"/>
          <w:lang w:val="en-US" w:eastAsia="zh-CN" w:bidi="ar-SA"/>
        </w:rPr>
        <w:t>，</w:t>
      </w:r>
      <w:r>
        <w:rPr>
          <w:rFonts w:hint="default" w:ascii="仿宋" w:hAnsi="仿宋" w:eastAsia="仿宋" w:cs="仿宋"/>
          <w:b w:val="0"/>
          <w:bCs w:val="0"/>
          <w:color w:val="auto"/>
          <w:kern w:val="2"/>
          <w:sz w:val="24"/>
          <w:szCs w:val="24"/>
          <w:highlight w:val="none"/>
          <w:lang w:val="en-US" w:eastAsia="zh-CN" w:bidi="ar-SA"/>
        </w:rPr>
        <w:t>扣完为止。中间数值采用插入法进行计算，四舍五入保留两位小数。</w:t>
      </w:r>
    </w:p>
    <w:p>
      <w:pPr>
        <w:pStyle w:val="4"/>
        <w:tabs>
          <w:tab w:val="left" w:pos="0"/>
        </w:tabs>
        <w:spacing w:line="360" w:lineRule="auto"/>
        <w:ind w:left="0" w:firstLine="0"/>
        <w:jc w:val="both"/>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最低收费标准部分得分（A）</w:t>
      </w:r>
      <w:r>
        <w:rPr>
          <w:rFonts w:hint="default"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b w:val="0"/>
          <w:bCs w:val="0"/>
          <w:color w:val="auto"/>
          <w:kern w:val="2"/>
          <w:sz w:val="24"/>
          <w:szCs w:val="24"/>
          <w:highlight w:val="none"/>
          <w:lang w:val="en-US" w:eastAsia="zh-CN" w:bidi="ar-SA"/>
        </w:rPr>
        <w:t>（100</w:t>
      </w:r>
      <w:r>
        <w:rPr>
          <w:rFonts w:hint="default"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报价-评审基准价)/评审基准价×100×</w:t>
      </w:r>
      <w:r>
        <w:rPr>
          <w:rFonts w:hint="eastAsia" w:ascii="仿宋" w:hAnsi="仿宋" w:eastAsia="仿宋" w:cs="仿宋"/>
          <w:b w:val="0"/>
          <w:bCs w:val="0"/>
          <w:color w:val="auto"/>
          <w:kern w:val="2"/>
          <w:sz w:val="24"/>
          <w:szCs w:val="24"/>
          <w:highlight w:val="none"/>
          <w:lang w:val="en-US" w:eastAsia="zh-CN" w:bidi="ar-SA"/>
        </w:rPr>
        <w:t>1）×此单项对应的权重</w:t>
      </w:r>
      <w:r>
        <w:rPr>
          <w:rFonts w:hint="default" w:ascii="仿宋" w:hAnsi="仿宋" w:eastAsia="仿宋" w:cs="仿宋"/>
          <w:b w:val="0"/>
          <w:bCs w:val="0"/>
          <w:color w:val="auto"/>
          <w:kern w:val="2"/>
          <w:sz w:val="24"/>
          <w:szCs w:val="24"/>
          <w:highlight w:val="none"/>
          <w:lang w:val="en-US" w:eastAsia="zh-CN" w:bidi="ar-SA"/>
        </w:rPr>
        <w:t>；</w:t>
      </w:r>
    </w:p>
    <w:p>
      <w:pPr>
        <w:spacing w:line="360" w:lineRule="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（2）费率报价部分得分（B）</w:t>
      </w:r>
    </w:p>
    <w:p>
      <w:pPr>
        <w:pStyle w:val="4"/>
        <w:tabs>
          <w:tab w:val="left" w:pos="0"/>
        </w:tabs>
        <w:spacing w:line="360" w:lineRule="auto"/>
        <w:ind w:left="0" w:firstLine="0"/>
        <w:jc w:val="both"/>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费率部分报价的</w:t>
      </w:r>
      <w:r>
        <w:rPr>
          <w:rFonts w:hint="default" w:ascii="仿宋" w:hAnsi="仿宋" w:eastAsia="仿宋" w:cs="仿宋"/>
          <w:b w:val="0"/>
          <w:bCs w:val="0"/>
          <w:color w:val="auto"/>
          <w:kern w:val="2"/>
          <w:sz w:val="24"/>
          <w:szCs w:val="24"/>
          <w:highlight w:val="none"/>
          <w:lang w:val="en-US" w:eastAsia="zh-CN" w:bidi="ar-SA"/>
        </w:rPr>
        <w:t>所有合格</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（即通过资格评审和符合性评审的</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b w:val="0"/>
          <w:bCs w:val="0"/>
          <w:color w:val="auto"/>
          <w:kern w:val="2"/>
          <w:sz w:val="24"/>
          <w:szCs w:val="24"/>
          <w:highlight w:val="none"/>
          <w:lang w:val="en-US" w:eastAsia="zh-CN" w:bidi="ar-SA"/>
        </w:rPr>
        <w:t>对应项</w:t>
      </w:r>
      <w:r>
        <w:rPr>
          <w:rFonts w:hint="default" w:ascii="仿宋" w:hAnsi="仿宋" w:eastAsia="仿宋" w:cs="仿宋"/>
          <w:b w:val="0"/>
          <w:bCs w:val="0"/>
          <w:color w:val="auto"/>
          <w:kern w:val="2"/>
          <w:sz w:val="24"/>
          <w:szCs w:val="24"/>
          <w:highlight w:val="none"/>
          <w:lang w:val="en-US" w:eastAsia="zh-CN" w:bidi="ar-SA"/>
        </w:rPr>
        <w:t>的报价的</w:t>
      </w:r>
      <w:r>
        <w:rPr>
          <w:rFonts w:hint="eastAsia" w:ascii="仿宋" w:hAnsi="仿宋" w:eastAsia="仿宋" w:cs="仿宋"/>
          <w:b w:val="0"/>
          <w:bCs w:val="0"/>
          <w:color w:val="auto"/>
          <w:kern w:val="2"/>
          <w:sz w:val="24"/>
          <w:szCs w:val="24"/>
          <w:highlight w:val="none"/>
          <w:lang w:val="en-US" w:eastAsia="zh-CN" w:bidi="ar-SA"/>
        </w:rPr>
        <w:t>最低价</w:t>
      </w:r>
      <w:r>
        <w:rPr>
          <w:rFonts w:hint="default" w:ascii="仿宋" w:hAnsi="仿宋" w:eastAsia="仿宋" w:cs="仿宋"/>
          <w:b w:val="0"/>
          <w:bCs w:val="0"/>
          <w:color w:val="auto"/>
          <w:kern w:val="2"/>
          <w:sz w:val="24"/>
          <w:szCs w:val="24"/>
          <w:highlight w:val="none"/>
          <w:lang w:val="en-US" w:eastAsia="zh-CN" w:bidi="ar-SA"/>
        </w:rPr>
        <w:t>作为基准价，</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的</w:t>
      </w:r>
      <w:r>
        <w:rPr>
          <w:rFonts w:hint="eastAsia" w:ascii="仿宋" w:hAnsi="仿宋" w:eastAsia="仿宋" w:cs="仿宋"/>
          <w:b w:val="0"/>
          <w:bCs w:val="0"/>
          <w:color w:val="auto"/>
          <w:kern w:val="2"/>
          <w:sz w:val="24"/>
          <w:szCs w:val="24"/>
          <w:highlight w:val="none"/>
          <w:lang w:val="en-US" w:eastAsia="zh-CN" w:bidi="ar-SA"/>
        </w:rPr>
        <w:t>对应项</w:t>
      </w:r>
      <w:r>
        <w:rPr>
          <w:rFonts w:hint="default" w:ascii="仿宋" w:hAnsi="仿宋" w:eastAsia="仿宋" w:cs="仿宋"/>
          <w:b w:val="0"/>
          <w:bCs w:val="0"/>
          <w:color w:val="auto"/>
          <w:kern w:val="2"/>
          <w:sz w:val="24"/>
          <w:szCs w:val="24"/>
          <w:highlight w:val="none"/>
          <w:lang w:val="en-US" w:eastAsia="zh-CN" w:bidi="ar-SA"/>
        </w:rPr>
        <w:t>报价等于</w:t>
      </w:r>
      <w:r>
        <w:rPr>
          <w:rFonts w:hint="eastAsia" w:ascii="仿宋" w:hAnsi="仿宋" w:eastAsia="仿宋" w:cs="仿宋"/>
          <w:b w:val="0"/>
          <w:bCs w:val="0"/>
          <w:color w:val="auto"/>
          <w:kern w:val="2"/>
          <w:sz w:val="24"/>
          <w:szCs w:val="24"/>
          <w:highlight w:val="none"/>
          <w:lang w:val="en-US" w:eastAsia="zh-CN" w:bidi="ar-SA"/>
        </w:rPr>
        <w:t>对应项</w:t>
      </w:r>
      <w:r>
        <w:rPr>
          <w:rFonts w:hint="default" w:ascii="仿宋" w:hAnsi="仿宋" w:eastAsia="仿宋" w:cs="仿宋"/>
          <w:b w:val="0"/>
          <w:bCs w:val="0"/>
          <w:color w:val="auto"/>
          <w:kern w:val="2"/>
          <w:sz w:val="24"/>
          <w:szCs w:val="24"/>
          <w:highlight w:val="none"/>
          <w:lang w:val="en-US" w:eastAsia="zh-CN" w:bidi="ar-SA"/>
        </w:rPr>
        <w:t>基准价得满分</w:t>
      </w:r>
      <w:r>
        <w:rPr>
          <w:rFonts w:hint="eastAsia" w:ascii="仿宋" w:hAnsi="仿宋" w:eastAsia="仿宋" w:cs="仿宋"/>
          <w:b w:val="0"/>
          <w:bCs w:val="0"/>
          <w:color w:val="auto"/>
          <w:kern w:val="2"/>
          <w:sz w:val="24"/>
          <w:szCs w:val="24"/>
          <w:highlight w:val="none"/>
          <w:lang w:val="en-US" w:eastAsia="zh-CN" w:bidi="ar-SA"/>
        </w:rPr>
        <w:t>100</w:t>
      </w:r>
      <w:r>
        <w:rPr>
          <w:rFonts w:hint="default" w:ascii="仿宋" w:hAnsi="仿宋" w:eastAsia="仿宋" w:cs="仿宋"/>
          <w:b w:val="0"/>
          <w:bCs w:val="0"/>
          <w:color w:val="auto"/>
          <w:kern w:val="2"/>
          <w:sz w:val="24"/>
          <w:szCs w:val="24"/>
          <w:highlight w:val="none"/>
          <w:lang w:val="en-US" w:eastAsia="zh-CN" w:bidi="ar-SA"/>
        </w:rPr>
        <w:t>分。其余</w:t>
      </w:r>
      <w:r>
        <w:rPr>
          <w:rFonts w:hint="eastAsia" w:ascii="仿宋" w:hAnsi="仿宋" w:eastAsia="仿宋" w:cs="仿宋"/>
          <w:b w:val="0"/>
          <w:bCs w:val="0"/>
          <w:color w:val="auto"/>
          <w:kern w:val="2"/>
          <w:sz w:val="24"/>
          <w:szCs w:val="24"/>
          <w:highlight w:val="none"/>
          <w:lang w:val="en-US" w:eastAsia="zh-CN" w:bidi="ar-SA"/>
        </w:rPr>
        <w:t>供应商对应项</w:t>
      </w:r>
      <w:r>
        <w:rPr>
          <w:rFonts w:hint="default" w:ascii="仿宋" w:hAnsi="仿宋" w:eastAsia="仿宋" w:cs="仿宋"/>
          <w:b w:val="0"/>
          <w:bCs w:val="0"/>
          <w:color w:val="auto"/>
          <w:kern w:val="2"/>
          <w:sz w:val="24"/>
          <w:szCs w:val="24"/>
          <w:highlight w:val="none"/>
          <w:lang w:val="en-US" w:eastAsia="zh-CN" w:bidi="ar-SA"/>
        </w:rPr>
        <w:t>的报价与</w:t>
      </w:r>
      <w:r>
        <w:rPr>
          <w:rFonts w:hint="eastAsia" w:ascii="仿宋" w:hAnsi="仿宋" w:eastAsia="仿宋" w:cs="仿宋"/>
          <w:b w:val="0"/>
          <w:bCs w:val="0"/>
          <w:color w:val="auto"/>
          <w:kern w:val="2"/>
          <w:sz w:val="24"/>
          <w:szCs w:val="24"/>
          <w:highlight w:val="none"/>
          <w:lang w:val="en-US" w:eastAsia="zh-CN" w:bidi="ar-SA"/>
        </w:rPr>
        <w:t>对应项</w:t>
      </w:r>
      <w:r>
        <w:rPr>
          <w:rFonts w:hint="default" w:ascii="仿宋" w:hAnsi="仿宋" w:eastAsia="仿宋" w:cs="仿宋"/>
          <w:b w:val="0"/>
          <w:bCs w:val="0"/>
          <w:color w:val="auto"/>
          <w:kern w:val="2"/>
          <w:sz w:val="24"/>
          <w:szCs w:val="24"/>
          <w:highlight w:val="none"/>
          <w:lang w:val="en-US" w:eastAsia="zh-CN" w:bidi="ar-SA"/>
        </w:rPr>
        <w:t>基准价相比，每高于基准价0.</w:t>
      </w:r>
      <w:r>
        <w:rPr>
          <w:rFonts w:hint="eastAsia" w:ascii="仿宋" w:hAnsi="仿宋" w:eastAsia="仿宋" w:cs="仿宋"/>
          <w:b w:val="0"/>
          <w:bCs w:val="0"/>
          <w:color w:val="auto"/>
          <w:kern w:val="2"/>
          <w:sz w:val="24"/>
          <w:szCs w:val="24"/>
          <w:highlight w:val="none"/>
          <w:lang w:val="en-US" w:eastAsia="zh-CN" w:bidi="ar-SA"/>
        </w:rPr>
        <w:t>1</w:t>
      </w:r>
      <w:r>
        <w:rPr>
          <w:rFonts w:hint="default" w:ascii="仿宋" w:hAnsi="仿宋" w:eastAsia="仿宋" w:cs="仿宋"/>
          <w:b w:val="0"/>
          <w:bCs w:val="0"/>
          <w:color w:val="auto"/>
          <w:kern w:val="2"/>
          <w:sz w:val="24"/>
          <w:szCs w:val="24"/>
          <w:highlight w:val="none"/>
          <w:lang w:val="en-US" w:eastAsia="zh-CN" w:bidi="ar-SA"/>
        </w:rPr>
        <w:t>%的扣1分，扣完为止。不足0.</w:t>
      </w:r>
      <w:r>
        <w:rPr>
          <w:rFonts w:hint="eastAsia" w:ascii="仿宋" w:hAnsi="仿宋" w:eastAsia="仿宋" w:cs="仿宋"/>
          <w:b w:val="0"/>
          <w:bCs w:val="0"/>
          <w:color w:val="auto"/>
          <w:kern w:val="2"/>
          <w:sz w:val="24"/>
          <w:szCs w:val="24"/>
          <w:highlight w:val="none"/>
          <w:lang w:val="en-US" w:eastAsia="zh-CN" w:bidi="ar-SA"/>
        </w:rPr>
        <w:t>1</w:t>
      </w:r>
      <w:r>
        <w:rPr>
          <w:rFonts w:hint="default" w:ascii="仿宋" w:hAnsi="仿宋" w:eastAsia="仿宋" w:cs="仿宋"/>
          <w:b w:val="0"/>
          <w:bCs w:val="0"/>
          <w:color w:val="auto"/>
          <w:kern w:val="2"/>
          <w:sz w:val="24"/>
          <w:szCs w:val="24"/>
          <w:highlight w:val="none"/>
          <w:lang w:val="en-US" w:eastAsia="zh-CN" w:bidi="ar-SA"/>
        </w:rPr>
        <w:t>%按0.</w:t>
      </w:r>
      <w:r>
        <w:rPr>
          <w:rFonts w:hint="eastAsia" w:ascii="仿宋" w:hAnsi="仿宋" w:eastAsia="仿宋" w:cs="仿宋"/>
          <w:b w:val="0"/>
          <w:bCs w:val="0"/>
          <w:color w:val="auto"/>
          <w:kern w:val="2"/>
          <w:sz w:val="24"/>
          <w:szCs w:val="24"/>
          <w:highlight w:val="none"/>
          <w:lang w:val="en-US" w:eastAsia="zh-CN" w:bidi="ar-SA"/>
        </w:rPr>
        <w:t>1</w:t>
      </w:r>
      <w:r>
        <w:rPr>
          <w:rFonts w:hint="default" w:ascii="仿宋" w:hAnsi="仿宋" w:eastAsia="仿宋" w:cs="仿宋"/>
          <w:b w:val="0"/>
          <w:bCs w:val="0"/>
          <w:color w:val="auto"/>
          <w:kern w:val="2"/>
          <w:sz w:val="24"/>
          <w:szCs w:val="24"/>
          <w:highlight w:val="none"/>
          <w:lang w:val="en-US" w:eastAsia="zh-CN" w:bidi="ar-SA"/>
        </w:rPr>
        <w:t>%计算。</w:t>
      </w:r>
    </w:p>
    <w:p>
      <w:pPr>
        <w:pStyle w:val="2"/>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各费率项报价得分</w:t>
      </w:r>
      <w:r>
        <w:rPr>
          <w:rFonts w:hint="eastAsia" w:ascii="仿宋" w:hAnsi="仿宋" w:eastAsia="仿宋" w:cs="仿宋"/>
          <w:color w:val="auto"/>
          <w:sz w:val="24"/>
          <w:highlight w:val="none"/>
          <w:lang w:val="en-US" w:eastAsia="zh-CN"/>
        </w:rPr>
        <w:t>（N）=）100-</w:t>
      </w:r>
      <w:r>
        <w:rPr>
          <w:rFonts w:hint="default"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b w:val="0"/>
          <w:bCs w:val="0"/>
          <w:color w:val="auto"/>
          <w:kern w:val="2"/>
          <w:sz w:val="24"/>
          <w:szCs w:val="24"/>
          <w:highlight w:val="none"/>
          <w:lang w:val="en-US" w:eastAsia="zh-CN" w:bidi="ar-SA"/>
        </w:rPr>
        <w:t>供应商</w:t>
      </w:r>
      <w:r>
        <w:rPr>
          <w:rFonts w:hint="default" w:ascii="仿宋" w:hAnsi="仿宋" w:eastAsia="仿宋" w:cs="仿宋"/>
          <w:b w:val="0"/>
          <w:bCs w:val="0"/>
          <w:color w:val="auto"/>
          <w:kern w:val="2"/>
          <w:sz w:val="24"/>
          <w:szCs w:val="24"/>
          <w:highlight w:val="none"/>
          <w:lang w:val="en-US" w:eastAsia="zh-CN" w:bidi="ar-SA"/>
        </w:rPr>
        <w:t>报价-评审基准价)</w:t>
      </w:r>
      <w:r>
        <w:rPr>
          <w:rFonts w:hint="eastAsia" w:ascii="仿宋" w:hAnsi="仿宋" w:eastAsia="仿宋" w:cs="仿宋"/>
          <w:b w:val="0"/>
          <w:bCs w:val="0"/>
          <w:color w:val="auto"/>
          <w:kern w:val="2"/>
          <w:sz w:val="24"/>
          <w:szCs w:val="24"/>
          <w:highlight w:val="none"/>
          <w:lang w:val="en-US" w:eastAsia="zh-CN" w:bidi="ar-SA"/>
        </w:rPr>
        <w:t>/0.1%×1）×各费率报价项所占权重</w:t>
      </w:r>
    </w:p>
    <w:p>
      <w:pPr>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费率报价部分得分（B）等于</w:t>
      </w:r>
      <w:r>
        <w:rPr>
          <w:rFonts w:hint="default" w:ascii="仿宋" w:hAnsi="仿宋" w:eastAsia="仿宋" w:cs="仿宋"/>
          <w:b w:val="0"/>
          <w:bCs w:val="0"/>
          <w:color w:val="auto"/>
          <w:sz w:val="24"/>
          <w:highlight w:val="none"/>
          <w:lang w:val="en-US" w:eastAsia="zh-CN"/>
        </w:rPr>
        <w:t>各费率项报价得分</w:t>
      </w:r>
      <w:r>
        <w:rPr>
          <w:rFonts w:hint="eastAsia" w:ascii="仿宋" w:hAnsi="仿宋" w:eastAsia="仿宋" w:cs="仿宋"/>
          <w:b w:val="0"/>
          <w:bCs w:val="0"/>
          <w:color w:val="auto"/>
          <w:sz w:val="24"/>
          <w:highlight w:val="none"/>
          <w:lang w:val="en-US" w:eastAsia="zh-CN"/>
        </w:rPr>
        <w:t>（N）之和</w:t>
      </w:r>
      <w:r>
        <w:rPr>
          <w:rFonts w:hint="default" w:ascii="仿宋" w:hAnsi="仿宋" w:eastAsia="仿宋" w:cs="仿宋"/>
          <w:b w:val="0"/>
          <w:bCs w:val="0"/>
          <w:color w:val="auto"/>
          <w:kern w:val="2"/>
          <w:sz w:val="24"/>
          <w:szCs w:val="24"/>
          <w:highlight w:val="none"/>
          <w:lang w:val="en-US" w:eastAsia="zh-CN" w:bidi="ar-SA"/>
        </w:rPr>
        <w:br w:type="page"/>
      </w:r>
    </w:p>
    <w:p>
      <w:pPr>
        <w:pStyle w:val="4"/>
        <w:tabs>
          <w:tab w:val="left" w:pos="0"/>
        </w:tabs>
        <w:spacing w:line="360" w:lineRule="auto"/>
        <w:ind w:left="1606" w:hanging="1606"/>
        <w:jc w:val="both"/>
        <w:rPr>
          <w:rFonts w:hint="default" w:ascii="Times New Roman" w:hAnsi="Times New Roman" w:eastAsia="方正仿宋" w:cs="Times New Roman"/>
          <w:color w:val="auto"/>
          <w:sz w:val="28"/>
          <w:szCs w:val="28"/>
          <w:highlight w:val="none"/>
          <w:lang w:val="en-US" w:eastAsia="zh-CN"/>
        </w:rPr>
      </w:pPr>
      <w:r>
        <w:rPr>
          <w:rFonts w:hint="eastAsia" w:ascii="Times New Roman" w:hAnsi="Times New Roman" w:eastAsia="方正黑体" w:cs="Times New Roman"/>
          <w:b w:val="0"/>
          <w:bCs w:val="0"/>
          <w:kern w:val="2"/>
          <w:sz w:val="32"/>
          <w:szCs w:val="40"/>
          <w:highlight w:val="none"/>
          <w:lang w:val="en-US" w:eastAsia="zh-CN" w:bidi="ar-SA"/>
        </w:rPr>
        <w:t>附件3：报价</w:t>
      </w:r>
      <w:r>
        <w:rPr>
          <w:rFonts w:hint="default" w:ascii="Times New Roman" w:hAnsi="Times New Roman" w:eastAsia="方正黑体" w:cs="Times New Roman"/>
          <w:b w:val="0"/>
          <w:bCs w:val="0"/>
          <w:kern w:val="2"/>
          <w:sz w:val="32"/>
          <w:szCs w:val="40"/>
          <w:highlight w:val="none"/>
          <w:lang w:val="en-US" w:eastAsia="zh-CN" w:bidi="ar-SA"/>
        </w:rPr>
        <w:t>文件格式</w:t>
      </w:r>
    </w:p>
    <w:p>
      <w:pPr>
        <w:jc w:val="center"/>
        <w:rPr>
          <w:rFonts w:hint="default" w:ascii="Times New Roman" w:hAnsi="Times New Roman" w:cs="Times New Roman"/>
          <w:b/>
          <w:bCs/>
          <w:sz w:val="32"/>
          <w:szCs w:val="40"/>
          <w:highlight w:val="none"/>
          <w:lang w:val="en-US" w:eastAsia="zh-CN"/>
        </w:rPr>
      </w:pPr>
      <w:r>
        <w:rPr>
          <w:rFonts w:hint="default" w:ascii="Times New Roman" w:hAnsi="Times New Roman" w:eastAsia="方正仿宋" w:cs="Times New Roman"/>
          <w:b/>
          <w:bCs/>
          <w:color w:val="auto"/>
          <w:kern w:val="2"/>
          <w:sz w:val="28"/>
          <w:szCs w:val="28"/>
          <w:highlight w:val="none"/>
          <w:lang w:val="en-US" w:eastAsia="zh-CN" w:bidi="ar-SA"/>
        </w:rPr>
        <w:t>一、报价函</w:t>
      </w:r>
    </w:p>
    <w:p>
      <w:pPr>
        <w:keepNext w:val="0"/>
        <w:keepLines w:val="0"/>
        <w:pageBreakBefore w:val="0"/>
        <w:widowControl w:val="0"/>
        <w:kinsoku/>
        <w:wordWrap/>
        <w:overflowPunct/>
        <w:topLinePunct w:val="0"/>
        <w:autoSpaceDE/>
        <w:autoSpaceDN/>
        <w:bidi w:val="0"/>
        <w:adjustRightInd w:val="0"/>
        <w:snapToGrid/>
        <w:spacing w:line="580" w:lineRule="exact"/>
        <w:ind w:left="0" w:firstLine="480" w:firstLineChars="200"/>
        <w:jc w:val="lef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bookmarkStart w:id="0" w:name="_Toc388973893"/>
      <w:bookmarkStart w:id="1" w:name="_Toc391712470"/>
      <w:bookmarkStart w:id="2" w:name="_Toc301432628"/>
      <w:r>
        <w:rPr>
          <w:rFonts w:hint="default" w:ascii="Times New Roman" w:hAnsi="Times New Roman" w:eastAsia="方正仿宋" w:cs="Times New Roman"/>
          <w:color w:val="000000" w:themeColor="text1"/>
          <w:sz w:val="24"/>
          <w:szCs w:val="24"/>
          <w:highlight w:val="none"/>
          <w14:textFill>
            <w14:solidFill>
              <w14:schemeClr w14:val="tx1"/>
            </w14:solidFill>
          </w14:textFill>
        </w:rPr>
        <w:t>致：</w:t>
      </w:r>
      <w:r>
        <w:rPr>
          <w:rFonts w:hint="eastAsia" w:ascii="Times New Roman" w:hAnsi="Times New Roman" w:eastAsia="方正仿宋" w:cs="Times New Roman"/>
          <w:color w:val="000000" w:themeColor="text1"/>
          <w:sz w:val="24"/>
          <w:szCs w:val="24"/>
          <w:highlight w:val="none"/>
          <w:lang w:eastAsia="zh-CN"/>
          <w14:textFill>
            <w14:solidFill>
              <w14:schemeClr w14:val="tx1"/>
            </w14:solidFill>
          </w14:textFill>
        </w:rPr>
        <w:t>成都国生创新科技服务有限公司</w:t>
      </w:r>
      <w:r>
        <w:rPr>
          <w:rFonts w:hint="default" w:ascii="Times New Roman" w:hAnsi="Times New Roman" w:eastAsia="方正仿宋" w:cs="Times New Roman"/>
          <w:color w:val="000000" w:themeColor="text1"/>
          <w:sz w:val="24"/>
          <w:szCs w:val="24"/>
          <w:highlight w:val="none"/>
          <w14:textFill>
            <w14:solidFill>
              <w14:schemeClr w14:val="tx1"/>
            </w14:solidFill>
          </w14:textFill>
        </w:rPr>
        <w:t xml:space="preserve"> </w:t>
      </w:r>
    </w:p>
    <w:p>
      <w:pPr>
        <w:pStyle w:val="5"/>
        <w:keepNext w:val="0"/>
        <w:keepLines w:val="0"/>
        <w:pageBreakBefore w:val="0"/>
        <w:widowControl w:val="0"/>
        <w:numPr>
          <w:ilvl w:val="0"/>
          <w:numId w:val="1"/>
        </w:numPr>
        <w:kinsoku/>
        <w:wordWrap/>
        <w:overflowPunct/>
        <w:topLinePunct w:val="0"/>
        <w:autoSpaceDE/>
        <w:autoSpaceDN/>
        <w:bidi w:val="0"/>
        <w:snapToGrid/>
        <w:spacing w:after="0" w:line="580" w:lineRule="exact"/>
        <w:ind w:left="0" w:leftChars="0" w:firstLine="482" w:firstLineChars="200"/>
        <w:contextualSpacing/>
        <w:textAlignment w:val="auto"/>
        <w:rPr>
          <w:rFonts w:hint="default" w:ascii="Times New Roman" w:hAnsi="Times New Roman" w:eastAsia="方正仿宋"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highlight w:val="none"/>
          <w:lang w:val="en-US" w:eastAsia="zh-CN"/>
          <w14:textFill>
            <w14:solidFill>
              <w14:schemeClr w14:val="tx1"/>
            </w14:solidFill>
          </w14:textFill>
        </w:rPr>
        <w:t>报价：</w:t>
      </w:r>
    </w:p>
    <w:p>
      <w:pPr>
        <w:pStyle w:val="5"/>
        <w:keepNext w:val="0"/>
        <w:keepLines w:val="0"/>
        <w:pageBreakBefore w:val="0"/>
        <w:widowControl w:val="0"/>
        <w:numPr>
          <w:ilvl w:val="0"/>
          <w:numId w:val="0"/>
        </w:numPr>
        <w:kinsoku/>
        <w:wordWrap/>
        <w:overflowPunct/>
        <w:topLinePunct w:val="0"/>
        <w:autoSpaceDE/>
        <w:autoSpaceDN/>
        <w:bidi w:val="0"/>
        <w:snapToGrid/>
        <w:spacing w:after="0" w:line="580" w:lineRule="exact"/>
        <w:ind w:left="0" w:firstLine="480" w:firstLineChars="200"/>
        <w:contextualSpacing/>
        <w:textAlignment w:val="auto"/>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我方在充分理解</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要求</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及相关资料</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的基础上，</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结合企业自身情况及管理经验，我方愿意以</w:t>
      </w:r>
      <w:r>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t>以下价格承担</w:t>
      </w:r>
      <w:r>
        <w:rPr>
          <w:rFonts w:hint="eastAsia"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成都国生创新科技服务有限公司2026-2027年涉诉案件保全保函</w:t>
      </w:r>
      <w:r>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t>服务工作，且商务、技术要求满足采购人要求。</w:t>
      </w:r>
    </w:p>
    <w:tbl>
      <w:tblPr>
        <w:tblStyle w:val="8"/>
        <w:tblW w:w="97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24"/>
        <w:gridCol w:w="5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4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保全金额</w:t>
            </w: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费率(保费)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4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lang w:val="en-US" w:eastAsia="zh-CN"/>
              </w:rPr>
            </w:pPr>
            <w:r>
              <w:rPr>
                <w:rFonts w:hint="eastAsia" w:ascii="Times New Roman" w:hAnsi="Times New Roman" w:eastAsia="方正仿宋_GB2312" w:cs="Times New Roman"/>
                <w:i w:val="0"/>
                <w:iCs w:val="0"/>
                <w:sz w:val="21"/>
                <w:szCs w:val="21"/>
                <w:highlight w:val="none"/>
                <w:u w:val="none"/>
                <w:lang w:val="en-US" w:eastAsia="zh-CN"/>
              </w:rPr>
              <w:t>最低收费标准</w:t>
            </w: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sz w:val="21"/>
                <w:szCs w:val="21"/>
                <w:highlight w:val="none"/>
                <w:u w:val="none"/>
                <w:lang w:val="en-US" w:eastAsia="zh-CN"/>
              </w:rPr>
            </w:pPr>
            <w:r>
              <w:rPr>
                <w:rFonts w:hint="eastAsia" w:ascii="Times New Roman" w:hAnsi="Times New Roman" w:eastAsia="方正仿宋_GB2312" w:cs="Times New Roman"/>
                <w:i w:val="0"/>
                <w:iCs w:val="0"/>
                <w:sz w:val="21"/>
                <w:szCs w:val="21"/>
                <w:highlight w:val="none"/>
                <w:u w:val="none"/>
                <w:lang w:val="en-US" w:eastAsia="zh-CN"/>
              </w:rPr>
              <w:t>[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4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default" w:ascii="Times New Roman" w:hAnsi="Times New Roman" w:eastAsia="方正仿宋_GB2312" w:cs="Times New Roman"/>
                <w:i w:val="0"/>
                <w:iCs w:val="0"/>
                <w:kern w:val="2"/>
                <w:sz w:val="21"/>
                <w:szCs w:val="21"/>
                <w:highlight w:val="none"/>
                <w:u w:val="none"/>
                <w:lang w:val="en-US" w:eastAsia="zh-CN" w:bidi="ar-SA"/>
              </w:rPr>
              <w:t>100万以下</w:t>
            </w: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kern w:val="2"/>
                <w:sz w:val="21"/>
                <w:szCs w:val="21"/>
                <w:highlight w:val="none"/>
                <w:u w:val="none"/>
                <w:lang w:val="en-US" w:eastAsia="zh-CN" w:bidi="ar-SA"/>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sz w:val="21"/>
                <w:szCs w:val="21"/>
                <w:highlight w:val="none"/>
                <w:u w:val="none"/>
                <w:lang w:val="en-US" w:eastAsia="zh-CN"/>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4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100万-200万</w:t>
            </w: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sz w:val="21"/>
                <w:szCs w:val="21"/>
                <w:highlight w:val="none"/>
                <w:u w:val="none"/>
                <w:lang w:val="en-US"/>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sz w:val="21"/>
                <w:szCs w:val="21"/>
                <w:highlight w:val="none"/>
                <w:u w:val="none"/>
                <w:lang w:val="en-US" w:eastAsia="zh-CN"/>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4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200万-1000万</w:t>
            </w: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sz w:val="21"/>
                <w:szCs w:val="21"/>
                <w:highlight w:val="none"/>
                <w:u w:val="none"/>
                <w:lang w:val="en-US" w:eastAsia="zh-CN"/>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4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1000万-5亿</w:t>
            </w: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Times New Roman" w:hAnsi="Times New Roman" w:eastAsia="方正仿宋_GB2312" w:cs="Times New Roman"/>
                <w:i w:val="0"/>
                <w:iCs w:val="0"/>
                <w:sz w:val="21"/>
                <w:szCs w:val="21"/>
                <w:highlight w:val="none"/>
                <w:u w:val="none"/>
              </w:rPr>
            </w:pPr>
            <w:r>
              <w:rPr>
                <w:rFonts w:hint="default" w:ascii="Times New Roman" w:hAnsi="Times New Roman" w:eastAsia="方正仿宋_GB2312" w:cs="Times New Roman"/>
                <w:i w:val="0"/>
                <w:iCs w:val="0"/>
                <w:kern w:val="2"/>
                <w:sz w:val="21"/>
                <w:szCs w:val="21"/>
                <w:highlight w:val="none"/>
                <w:u w:val="none"/>
                <w:lang w:val="en-US" w:eastAsia="zh-CN" w:bidi="ar-SA"/>
              </w:rPr>
              <w:t>保全金额的万分之</w:t>
            </w:r>
            <w:r>
              <w:rPr>
                <w:rFonts w:hint="eastAsia" w:ascii="Times New Roman" w:hAnsi="Times New Roman" w:eastAsia="方正仿宋_GB2312" w:cs="Times New Roman"/>
                <w:i w:val="0"/>
                <w:iCs w:val="0"/>
                <w:sz w:val="21"/>
                <w:szCs w:val="21"/>
                <w:highlight w:val="none"/>
                <w:u w:val="none"/>
                <w:lang w:val="en-US" w:eastAsia="zh-CN"/>
              </w:rPr>
              <w:t>[     ]</w:t>
            </w:r>
          </w:p>
        </w:tc>
      </w:tr>
    </w:tbl>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contextualSpacing/>
        <w:textAlignment w:val="auto"/>
        <w:rPr>
          <w:rFonts w:hint="eastAsia" w:ascii="Times New Roman" w:hAnsi="Times New Roman" w:eastAsia="方正仿宋"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注：最低收费标准适用于保全金额极小的案件（如不足1万元），按件收取，不另计费率。各区间费率按实际保全金额乘以对应费率计算保费</w:t>
      </w:r>
      <w:r>
        <w:rPr>
          <w:rFonts w:hint="eastAsia" w:ascii="Times New Roman" w:hAnsi="Times New Roman" w:eastAsia="方正仿宋" w:cs="Times New Roman"/>
          <w:color w:val="000000" w:themeColor="text1"/>
          <w:kern w:val="0"/>
          <w:sz w:val="24"/>
          <w:szCs w:val="24"/>
          <w:highlight w:val="none"/>
          <w:lang w:eastAsia="zh-CN"/>
          <w14:textFill>
            <w14:solidFill>
              <w14:schemeClr w14:val="tx1"/>
            </w14:solidFill>
          </w14:textFill>
        </w:rPr>
        <w:t>。</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contextualSpacing/>
        <w:textAlignment w:val="auto"/>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上述报价应包含</w:t>
      </w:r>
      <w:r>
        <w:rPr>
          <w:rFonts w:hint="default" w:ascii="Times New Roman" w:hAnsi="Times New Roman" w:eastAsia="方正仿宋" w:cs="Times New Roman"/>
          <w:color w:val="000000" w:themeColor="text1"/>
          <w:kern w:val="0"/>
          <w:sz w:val="24"/>
          <w:szCs w:val="24"/>
          <w:highlight w:val="none"/>
          <w:lang w:val="en-US" w:eastAsia="zh-CN"/>
          <w14:textFill>
            <w14:solidFill>
              <w14:schemeClr w14:val="tx1"/>
            </w14:solidFill>
          </w14:textFill>
        </w:rPr>
        <w:t>为完成本项目服务内容所需的</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一切费用</w:t>
      </w:r>
      <w:r>
        <w:rPr>
          <w:rFonts w:hint="eastAsia" w:ascii="Times New Roman" w:hAnsi="Times New Roman" w:eastAsia="方正仿宋" w:cs="Times New Roman"/>
          <w:b/>
          <w:bCs/>
          <w:color w:val="000000" w:themeColor="text1"/>
          <w:sz w:val="24"/>
          <w:szCs w:val="24"/>
          <w:highlight w:val="none"/>
          <w:lang w:eastAsia="zh-CN"/>
          <w14:textFill>
            <w14:solidFill>
              <w14:schemeClr w14:val="tx1"/>
            </w14:solidFill>
          </w14:textFill>
        </w:rPr>
        <w:t>，</w:t>
      </w:r>
      <w:r>
        <w:rPr>
          <w:rFonts w:hint="eastAsia" w:ascii="Times New Roman" w:hAnsi="Times New Roman" w:eastAsia="方正仿宋" w:cs="Times New Roman"/>
          <w:b w:val="0"/>
          <w:bCs w:val="0"/>
          <w:color w:val="000000" w:themeColor="text1"/>
          <w:sz w:val="24"/>
          <w:szCs w:val="24"/>
          <w:highlight w:val="none"/>
          <w:lang w:val="en-US" w:eastAsia="zh-CN"/>
          <w14:textFill>
            <w14:solidFill>
              <w14:schemeClr w14:val="tx1"/>
            </w14:solidFill>
          </w14:textFill>
        </w:rPr>
        <w:t>报价有效期30天</w:t>
      </w: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2" w:firstLineChars="200"/>
        <w:textAlignment w:val="auto"/>
        <w:rPr>
          <w:rFonts w:hint="default" w:ascii="Times New Roman" w:hAnsi="Times New Roman" w:eastAsia="方正仿宋"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highlight w:val="none"/>
          <w:lang w:val="en-US" w:eastAsia="zh-CN"/>
          <w14:textFill>
            <w14:solidFill>
              <w14:schemeClr w14:val="tx1"/>
            </w14:solidFill>
          </w14:textFill>
        </w:rPr>
        <w:t>二、承诺：</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、我方完全同意自行承担为参加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所发生的一切费用。</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、我方承诺在</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有效期内不修改、不撤销</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、除非另外达成协议并生效，你方的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比价记录表</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和我方的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文件将构成约束我们双方的合同。</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4</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、我方承诺严格按</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比价记录表内容</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及双方签订书面合同约定的内容履行责任与义务。</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、我方承诺：如我方提供的服务不能满足</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的要求，</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可随时更换，我方对此无异议。</w:t>
      </w:r>
    </w:p>
    <w:p>
      <w:pPr>
        <w:pStyle w:val="5"/>
        <w:keepNext w:val="0"/>
        <w:keepLines w:val="0"/>
        <w:pageBreakBefore w:val="0"/>
        <w:widowControl w:val="0"/>
        <w:numPr>
          <w:ilvl w:val="255"/>
          <w:numId w:val="0"/>
        </w:numPr>
        <w:kinsoku/>
        <w:wordWrap/>
        <w:overflowPunct/>
        <w:topLinePunct w:val="0"/>
        <w:autoSpaceDE/>
        <w:autoSpaceDN/>
        <w:bidi w:val="0"/>
        <w:snapToGrid/>
        <w:spacing w:after="0" w:line="580" w:lineRule="exact"/>
        <w:ind w:left="0" w:firstLine="480" w:firstLineChars="200"/>
        <w:contextualSpacing/>
        <w:textAlignment w:val="auto"/>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6</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、我方所递交的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文件已充分考虑了各种外部因素对报价的影响；我方完全同意</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规定的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报价文件递交</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截止时间；若我方擅自放弃参加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此次报价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后擅自撤回</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文件或是由于自身的过错而不能缔结合同，及你方发现我方的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文件资料有隐瞒、欺诈行</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为的，将取消资格。</w:t>
      </w:r>
    </w:p>
    <w:p>
      <w:pPr>
        <w:pStyle w:val="5"/>
        <w:keepNext w:val="0"/>
        <w:keepLines w:val="0"/>
        <w:pageBreakBefore w:val="0"/>
        <w:widowControl w:val="0"/>
        <w:numPr>
          <w:ilvl w:val="255"/>
          <w:numId w:val="0"/>
        </w:numPr>
        <w:kinsoku/>
        <w:wordWrap/>
        <w:overflowPunct/>
        <w:topLinePunct w:val="0"/>
        <w:autoSpaceDE/>
        <w:autoSpaceDN/>
        <w:bidi w:val="0"/>
        <w:snapToGrid/>
        <w:spacing w:after="0" w:line="580" w:lineRule="exact"/>
        <w:ind w:left="0" w:firstLine="480" w:firstLineChars="200"/>
        <w:contextualSpacing/>
        <w:textAlignment w:val="auto"/>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7、我方愿意提供贵公司可能另外要求的与报价有关的文件资料，并保证我方已提供和将要提供的文件资料是真实、准确的。</w:t>
      </w:r>
    </w:p>
    <w:p>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w:t>
      </w:r>
      <w:r>
        <w:rPr>
          <w:rFonts w:hint="eastAsia" w:ascii="Times New Roman" w:hAnsi="Times New Roman" w:eastAsia="仿宋" w:cs="Times New Roman"/>
          <w:color w:val="auto"/>
          <w:sz w:val="24"/>
          <w:szCs w:val="24"/>
          <w:highlight w:val="none"/>
          <w:lang w:val="en-US" w:eastAsia="zh-CN"/>
        </w:rPr>
        <w:t>单位</w:t>
      </w:r>
      <w:r>
        <w:rPr>
          <w:rFonts w:hint="default" w:ascii="Times New Roman" w:hAnsi="Times New Roman" w:eastAsia="方正仿宋" w:cs="Times New Roman"/>
          <w:color w:val="000000" w:themeColor="text1"/>
          <w:sz w:val="24"/>
          <w:szCs w:val="24"/>
          <w:highlight w:val="none"/>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（盖单位公章）</w:t>
      </w:r>
    </w:p>
    <w:p>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（签字）</w:t>
      </w:r>
    </w:p>
    <w:p>
      <w:pPr>
        <w:wordWrap w:val="0"/>
        <w:adjustRightInd w:val="0"/>
        <w:spacing w:line="360" w:lineRule="auto"/>
        <w:jc w:val="right"/>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日 期</w:t>
      </w:r>
      <w:r>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年</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月</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日</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 xml:space="preserve">             </w:t>
      </w:r>
    </w:p>
    <w:bookmarkEnd w:id="0"/>
    <w:bookmarkEnd w:id="1"/>
    <w:bookmarkEnd w:id="2"/>
    <w:p>
      <w:pPr>
        <w:pStyle w:val="10"/>
        <w:spacing w:line="360" w:lineRule="auto"/>
        <w:rPr>
          <w:rFonts w:hint="default" w:ascii="Times New Roman" w:hAnsi="Times New Roman" w:eastAsia="方正仿宋" w:cs="Times New Roman"/>
          <w:color w:val="000000" w:themeColor="text1"/>
          <w:sz w:val="24"/>
          <w:szCs w:val="24"/>
          <w:highlight w:val="none"/>
          <w14:textFill>
            <w14:solidFill>
              <w14:schemeClr w14:val="tx1"/>
            </w14:solidFill>
          </w14:textFill>
        </w:rPr>
        <w:sectPr>
          <w:pgSz w:w="11906" w:h="16838"/>
          <w:pgMar w:top="1247" w:right="1134" w:bottom="1134" w:left="1247" w:header="851" w:footer="851" w:gutter="0"/>
          <w:cols w:space="720" w:num="1"/>
          <w:docGrid w:linePitch="312" w:charSpace="0"/>
        </w:sectPr>
      </w:pPr>
    </w:p>
    <w:p>
      <w:pPr>
        <w:pStyle w:val="4"/>
        <w:tabs>
          <w:tab w:val="left" w:pos="0"/>
        </w:tabs>
        <w:spacing w:line="360" w:lineRule="auto"/>
        <w:ind w:left="1606" w:hanging="1606"/>
        <w:jc w:val="center"/>
        <w:rPr>
          <w:rFonts w:hint="default" w:ascii="Times New Roman" w:hAnsi="Times New Roman" w:eastAsia="方正仿宋" w:cs="Times New Roman"/>
          <w:color w:val="auto"/>
          <w:sz w:val="28"/>
          <w:szCs w:val="28"/>
          <w:highlight w:val="none"/>
        </w:rPr>
      </w:pPr>
      <w:r>
        <w:rPr>
          <w:rFonts w:hint="default" w:ascii="Times New Roman" w:hAnsi="Times New Roman" w:eastAsia="方正仿宋" w:cs="Times New Roman"/>
          <w:color w:val="auto"/>
          <w:sz w:val="28"/>
          <w:szCs w:val="28"/>
          <w:highlight w:val="none"/>
          <w:lang w:val="en-US" w:eastAsia="zh-CN"/>
        </w:rPr>
        <w:t>二、</w:t>
      </w:r>
      <w:r>
        <w:rPr>
          <w:rFonts w:hint="default" w:ascii="Times New Roman" w:hAnsi="Times New Roman" w:eastAsia="方正仿宋" w:cs="Times New Roman"/>
          <w:color w:val="auto"/>
          <w:sz w:val="28"/>
          <w:szCs w:val="28"/>
          <w:highlight w:val="none"/>
        </w:rPr>
        <w:t>法定代表人授权委托书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本人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姓名</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 xml:space="preserve">（身份证号码）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供应商名称</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的法定代表人，现委托本单位人员</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姓名</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 xml:space="preserve"> （身份证号码） </w:t>
      </w:r>
      <w:r>
        <w:rPr>
          <w:rFonts w:hint="default" w:ascii="Times New Roman" w:hAnsi="Times New Roman" w:eastAsia="方正仿宋" w:cs="Times New Roman"/>
          <w:color w:val="auto"/>
          <w:sz w:val="24"/>
          <w:szCs w:val="24"/>
          <w:highlight w:val="none"/>
        </w:rPr>
        <w:t xml:space="preserve">为我方代理人。代理人根据授权，在参与 </w:t>
      </w:r>
      <w:r>
        <w:rPr>
          <w:rFonts w:hint="default" w:ascii="Times New Roman" w:hAnsi="Times New Roman" w:eastAsia="方正仿宋" w:cs="Times New Roman"/>
          <w:color w:val="auto"/>
          <w:sz w:val="24"/>
          <w:szCs w:val="24"/>
          <w:highlight w:val="none"/>
          <w:u w:val="single"/>
        </w:rPr>
        <w:t xml:space="preserve">       （项目或事项）  </w:t>
      </w:r>
      <w:r>
        <w:rPr>
          <w:rFonts w:hint="default" w:ascii="Times New Roman" w:hAnsi="Times New Roman" w:eastAsia="方正仿宋" w:cs="Times New Roman"/>
          <w:color w:val="auto"/>
          <w:sz w:val="24"/>
          <w:szCs w:val="24"/>
          <w:highlight w:val="none"/>
        </w:rPr>
        <w:t>报价及合同签署等活动过程中所签署的一切文件和处理与之有关的一切事务，其法律后果由我方承担。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委托期限</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自本授权委托书签署之日起至</w:t>
      </w:r>
      <w:r>
        <w:rPr>
          <w:rFonts w:hint="default" w:ascii="Times New Roman" w:hAnsi="Times New Roman" w:eastAsia="方正仿宋" w:cs="Times New Roman"/>
          <w:color w:val="auto"/>
          <w:sz w:val="24"/>
          <w:szCs w:val="24"/>
          <w:highlight w:val="none"/>
          <w:u w:val="none"/>
          <w:lang w:val="en-US" w:eastAsia="zh-CN"/>
        </w:rPr>
        <w:t>比价</w:t>
      </w:r>
      <w:r>
        <w:rPr>
          <w:rFonts w:hint="default" w:ascii="Times New Roman" w:hAnsi="Times New Roman" w:eastAsia="方正仿宋" w:cs="Times New Roman"/>
          <w:color w:val="auto"/>
          <w:sz w:val="24"/>
          <w:szCs w:val="24"/>
          <w:highlight w:val="none"/>
          <w:u w:val="none"/>
        </w:rPr>
        <w:t>结束</w:t>
      </w:r>
      <w:r>
        <w:rPr>
          <w:rFonts w:hint="default" w:ascii="Times New Roman" w:hAnsi="Times New Roman" w:eastAsia="方正仿宋" w:cs="Times New Roman"/>
          <w:color w:val="auto"/>
          <w:sz w:val="24"/>
          <w:szCs w:val="24"/>
          <w:highlight w:val="none"/>
        </w:rPr>
        <w:t>结束为止。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代理人无转委托权。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附</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1</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法定代表人身份证明和法定代表人身份证复印件或扫描件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960" w:firstLineChars="4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lang w:val="en-US" w:eastAsia="zh-CN"/>
        </w:rPr>
        <w:t>2</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委托代理人身份证复印件或扫描件和社保证明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p>
    <w:p>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lang w:val="en-US" w:eastAsia="zh-CN"/>
        </w:rPr>
        <w:t>报价</w:t>
      </w:r>
      <w:r>
        <w:rPr>
          <w:rFonts w:hint="eastAsia" w:ascii="Times New Roman" w:hAnsi="Times New Roman" w:eastAsia="仿宋" w:cs="Times New Roman"/>
          <w:color w:val="auto"/>
          <w:sz w:val="24"/>
          <w:szCs w:val="24"/>
          <w:highlight w:val="none"/>
          <w:lang w:val="en-US" w:eastAsia="zh-CN"/>
        </w:rPr>
        <w:t>单位</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（盖单位公章）</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rPr>
        <w:t>法定代表人：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rPr>
        <w:t>委托代理人：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left="0" w:leftChars="0" w:right="0" w:rightChars="0" w:firstLine="0" w:firstLine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联系电话：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（固定电话）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（移动电话）</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rPr>
        <w:t>日 期</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lang w:val="en-US" w:eastAsia="zh-CN"/>
        </w:rPr>
        <w:t xml:space="preserve">                </w:t>
      </w:r>
    </w:p>
    <w:p>
      <w:pPr>
        <w:tabs>
          <w:tab w:val="left" w:pos="8739"/>
        </w:tabs>
        <w:spacing w:line="360" w:lineRule="auto"/>
        <w:ind w:left="473" w:leftChars="225" w:right="-69" w:rightChars="-33"/>
        <w:rPr>
          <w:rFonts w:hint="default" w:ascii="Times New Roman" w:hAnsi="Times New Roman" w:eastAsia="宋体" w:cs="Times New Roman"/>
          <w:color w:val="auto"/>
          <w:szCs w:val="21"/>
          <w:highlight w:val="none"/>
        </w:rPr>
      </w:pPr>
    </w:p>
    <w:p>
      <w:pPr>
        <w:spacing w:line="360" w:lineRule="auto"/>
        <w:ind w:firstLine="3255" w:firstLineChars="1550"/>
        <w:rPr>
          <w:rFonts w:hint="default" w:ascii="Times New Roman" w:hAnsi="Times New Roman" w:eastAsia="宋体" w:cs="Times New Roman"/>
          <w:color w:val="auto"/>
          <w:highlight w:val="none"/>
        </w:rPr>
      </w:pPr>
    </w:p>
    <w:p>
      <w:pPr>
        <w:spacing w:line="360" w:lineRule="auto"/>
        <w:ind w:firstLine="3255" w:firstLineChars="1550"/>
        <w:rPr>
          <w:rFonts w:hint="default" w:ascii="Times New Roman" w:hAnsi="Times New Roman" w:eastAsia="宋体" w:cs="Times New Roman"/>
          <w:color w:val="auto"/>
          <w:highlight w:val="none"/>
        </w:rPr>
      </w:pPr>
    </w:p>
    <w:p>
      <w:pPr>
        <w:pStyle w:val="11"/>
        <w:rPr>
          <w:rFonts w:hint="default" w:ascii="Times New Roman" w:hAnsi="Times New Roman" w:eastAsia="宋体" w:cs="Times New Roman"/>
          <w:color w:val="auto"/>
          <w:highlight w:val="none"/>
        </w:rPr>
      </w:pPr>
    </w:p>
    <w:p>
      <w:pPr>
        <w:pStyle w:val="11"/>
        <w:rPr>
          <w:rFonts w:hint="default" w:ascii="Times New Roman" w:hAnsi="Times New Roman" w:eastAsia="宋体" w:cs="Times New Roman"/>
          <w:color w:val="auto"/>
          <w:highlight w:val="none"/>
        </w:rPr>
      </w:pPr>
    </w:p>
    <w:p>
      <w:pPr>
        <w:spacing w:line="360" w:lineRule="auto"/>
        <w:ind w:firstLine="3255" w:firstLineChars="1550"/>
        <w:rPr>
          <w:rFonts w:hint="default" w:ascii="Times New Roman" w:hAnsi="Times New Roman" w:eastAsia="宋体" w:cs="Times New Roman"/>
          <w:color w:val="auto"/>
          <w:highlight w:val="none"/>
        </w:rPr>
      </w:pPr>
    </w:p>
    <w:p>
      <w:pPr>
        <w:spacing w:line="360" w:lineRule="auto"/>
        <w:rPr>
          <w:rFonts w:hint="default" w:ascii="Times New Roman" w:hAnsi="Times New Roman" w:eastAsia="宋体" w:cs="Times New Roman"/>
          <w:color w:val="auto"/>
          <w:highlight w:val="none"/>
        </w:rPr>
      </w:pPr>
    </w:p>
    <w:p>
      <w:pPr>
        <w:spacing w:line="360" w:lineRule="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注：本授权委托书为法定代表人不亲自</w:t>
      </w:r>
      <w:r>
        <w:rPr>
          <w:rFonts w:hint="default" w:ascii="Times New Roman" w:hAnsi="Times New Roman"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而委托代理人</w:t>
      </w:r>
      <w:r>
        <w:rPr>
          <w:rFonts w:hint="default" w:ascii="Times New Roman" w:hAnsi="Times New Roman" w:eastAsia="宋体"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适用。</w:t>
      </w:r>
    </w:p>
    <w:p>
      <w:pPr>
        <w:pStyle w:val="2"/>
        <w:rPr>
          <w:rFonts w:hint="default" w:ascii="Times New Roman" w:hAnsi="Times New Roman" w:eastAsia="宋体" w:cs="Times New Roman"/>
          <w:b/>
          <w:color w:val="auto"/>
          <w:szCs w:val="21"/>
          <w:highlight w:val="none"/>
        </w:rPr>
      </w:pPr>
    </w:p>
    <w:p>
      <w:pPr>
        <w:rPr>
          <w:rFonts w:hint="default" w:ascii="Times New Roman" w:hAnsi="Times New Roman" w:eastAsia="宋体" w:cs="Times New Roman"/>
          <w:b/>
          <w:color w:val="auto"/>
          <w:szCs w:val="21"/>
          <w:highlight w:val="none"/>
        </w:rPr>
      </w:pPr>
    </w:p>
    <w:p>
      <w:pPr>
        <w:pStyle w:val="2"/>
        <w:rPr>
          <w:rFonts w:hint="default" w:ascii="Times New Roman" w:hAnsi="Times New Roman" w:eastAsia="宋体" w:cs="Times New Roman"/>
          <w:b/>
          <w:color w:val="auto"/>
          <w:szCs w:val="21"/>
          <w:highlight w:val="none"/>
        </w:rPr>
      </w:pPr>
    </w:p>
    <w:p>
      <w:pPr>
        <w:rPr>
          <w:rFonts w:hint="default" w:ascii="Times New Roman" w:hAnsi="Times New Roman" w:eastAsia="宋体" w:cs="Times New Roman"/>
          <w:b/>
          <w:color w:val="auto"/>
          <w:szCs w:val="21"/>
          <w:highlight w:val="none"/>
        </w:rPr>
      </w:pPr>
    </w:p>
    <w:p>
      <w:pPr>
        <w:rPr>
          <w:rFonts w:hint="default" w:ascii="Times New Roman" w:hAnsi="Times New Roman" w:cs="Times New Roman"/>
          <w:b/>
          <w:bCs/>
          <w:sz w:val="36"/>
          <w:szCs w:val="44"/>
          <w:highlight w:val="none"/>
          <w:lang w:val="en-US" w:eastAsia="zh-CN"/>
        </w:rPr>
      </w:pPr>
      <w:r>
        <w:rPr>
          <w:rFonts w:hint="default" w:ascii="Times New Roman" w:hAnsi="Times New Roman" w:cs="Times New Roman"/>
          <w:b/>
          <w:bCs/>
          <w:sz w:val="36"/>
          <w:szCs w:val="44"/>
          <w:highlight w:val="none"/>
          <w:lang w:val="en-US" w:eastAsia="zh-CN"/>
        </w:rPr>
        <w:br w:type="page"/>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center"/>
        <w:textAlignment w:val="auto"/>
        <w:rPr>
          <w:rFonts w:hint="default" w:ascii="Times New Roman" w:hAnsi="Times New Roman" w:eastAsia="方正仿宋" w:cs="Times New Roman"/>
          <w:b/>
          <w:bCs/>
          <w:color w:val="auto"/>
          <w:kern w:val="2"/>
          <w:sz w:val="28"/>
          <w:szCs w:val="28"/>
          <w:highlight w:val="none"/>
          <w:lang w:val="en-US" w:eastAsia="zh-CN" w:bidi="ar-SA"/>
        </w:rPr>
      </w:pPr>
      <w:r>
        <w:rPr>
          <w:rFonts w:hint="default" w:ascii="Times New Roman" w:hAnsi="Times New Roman" w:eastAsia="方正仿宋" w:cs="Times New Roman"/>
          <w:b/>
          <w:bCs/>
          <w:color w:val="auto"/>
          <w:kern w:val="2"/>
          <w:sz w:val="28"/>
          <w:szCs w:val="28"/>
          <w:highlight w:val="none"/>
          <w:lang w:val="en-US" w:eastAsia="zh-CN" w:bidi="ar-SA"/>
        </w:rPr>
        <w:t>二、法定代表人身份证明</w:t>
      </w:r>
    </w:p>
    <w:p>
      <w:pPr>
        <w:spacing w:line="360" w:lineRule="auto"/>
        <w:ind w:right="-4" w:rightChars="-2"/>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单位性质</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地址</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成立时间</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经营期限</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姓名</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单位名称</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rPr>
        <w:t>的法定代表人</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职务</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电话</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w:t>
      </w:r>
    </w:p>
    <w:p>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特此证明。</w:t>
      </w:r>
      <w:r>
        <w:rPr>
          <w:rFonts w:hint="default" w:ascii="Times New Roman" w:hAnsi="Times New Roman" w:eastAsia="方正仿宋" w:cs="Times New Roman"/>
          <w:color w:val="auto"/>
          <w:sz w:val="24"/>
          <w:szCs w:val="24"/>
          <w:highlight w:val="none"/>
        </w:rPr>
        <w:br w:type="textWrapping"/>
      </w:r>
    </w:p>
    <w:p>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br w:type="textWrapping"/>
      </w:r>
    </w:p>
    <w:p>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eastAsia" w:ascii="Times New Roman" w:hAnsi="Times New Roman" w:eastAsia="方正仿宋" w:cs="Times New Roman"/>
          <w:color w:val="auto"/>
          <w:sz w:val="24"/>
          <w:szCs w:val="24"/>
          <w:highlight w:val="none"/>
          <w:lang w:val="en-US" w:eastAsia="zh-CN"/>
        </w:rPr>
        <w:t>报价</w:t>
      </w:r>
      <w:r>
        <w:rPr>
          <w:rFonts w:hint="default" w:ascii="Times New Roman" w:hAnsi="Times New Roman" w:eastAsia="方正仿宋" w:cs="Times New Roman"/>
          <w:color w:val="auto"/>
          <w:sz w:val="24"/>
          <w:szCs w:val="24"/>
          <w:highlight w:val="none"/>
        </w:rPr>
        <w:t>单位</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盖单位章</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p>
    <w:p>
      <w:pPr>
        <w:rPr>
          <w:rFonts w:hint="default" w:ascii="Times New Roman" w:hAnsi="Times New Roman" w:eastAsia="宋体" w:cs="Times New Roman"/>
          <w:sz w:val="24"/>
          <w:szCs w:val="24"/>
          <w:highlight w:val="none"/>
        </w:rPr>
      </w:pPr>
    </w:p>
    <w:p>
      <w:pPr>
        <w:rPr>
          <w:rFonts w:hint="default" w:ascii="Times New Roman" w:hAnsi="Times New Roman" w:eastAsia="宋体" w:cs="Times New Roman"/>
          <w:sz w:val="24"/>
          <w:szCs w:val="24"/>
          <w:highlight w:val="none"/>
        </w:rPr>
      </w:pPr>
    </w:p>
    <w:p>
      <w:pPr>
        <w:rPr>
          <w:rFonts w:hint="default" w:ascii="Times New Roman" w:hAnsi="Times New Roman" w:eastAsia="宋体" w:cs="Times New Roman"/>
          <w:sz w:val="24"/>
          <w:szCs w:val="24"/>
          <w:highlight w:val="none"/>
        </w:rPr>
      </w:pPr>
    </w:p>
    <w:p>
      <w:pPr>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b/>
          <w:color w:val="auto"/>
          <w:szCs w:val="21"/>
          <w:highlight w:val="none"/>
        </w:rPr>
        <w:t>注：法定代表人亲自</w:t>
      </w:r>
      <w:r>
        <w:rPr>
          <w:rFonts w:hint="default" w:ascii="Times New Roman" w:hAnsi="Times New Roman" w:cs="Times New Roman"/>
          <w:b/>
          <w:color w:val="auto"/>
          <w:szCs w:val="21"/>
          <w:highlight w:val="none"/>
          <w:lang w:val="en-US" w:eastAsia="zh-CN"/>
        </w:rPr>
        <w:t>报价的需提供法定代表人身份证明和法定代表人身份证复印件</w:t>
      </w:r>
    </w:p>
    <w:p>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br w:type="page"/>
      </w:r>
    </w:p>
    <w:p>
      <w:pPr>
        <w:pStyle w:val="4"/>
        <w:tabs>
          <w:tab w:val="left" w:pos="0"/>
        </w:tabs>
        <w:spacing w:line="360" w:lineRule="auto"/>
        <w:ind w:left="1606" w:hanging="1606"/>
        <w:jc w:val="center"/>
        <w:rPr>
          <w:rFonts w:hint="default" w:ascii="Times New Roman" w:hAnsi="Times New Roman" w:eastAsia="方正仿宋" w:cs="Times New Roman"/>
          <w:color w:val="000000" w:themeColor="text1"/>
          <w:sz w:val="28"/>
          <w:szCs w:val="28"/>
          <w:highlight w:val="none"/>
          <w14:textFill>
            <w14:solidFill>
              <w14:schemeClr w14:val="tx1"/>
            </w14:solidFill>
          </w14:textFill>
        </w:rPr>
      </w:pPr>
      <w:r>
        <w:rPr>
          <w:rFonts w:hint="default" w:ascii="Times New Roman" w:hAnsi="Times New Roman" w:eastAsia="方正仿宋" w:cs="Times New Roman"/>
          <w:color w:val="000000" w:themeColor="text1"/>
          <w:sz w:val="28"/>
          <w:szCs w:val="28"/>
          <w:highlight w:val="none"/>
          <w:lang w:val="en-US" w:eastAsia="zh-CN"/>
          <w14:textFill>
            <w14:solidFill>
              <w14:schemeClr w14:val="tx1"/>
            </w14:solidFill>
          </w14:textFill>
        </w:rPr>
        <w:t>三、</w:t>
      </w:r>
      <w:r>
        <w:rPr>
          <w:rFonts w:hint="default" w:ascii="Times New Roman" w:hAnsi="Times New Roman" w:eastAsia="方正仿宋" w:cs="Times New Roman"/>
          <w:color w:val="000000" w:themeColor="text1"/>
          <w:sz w:val="28"/>
          <w:szCs w:val="28"/>
          <w:highlight w:val="none"/>
          <w14:textFill>
            <w14:solidFill>
              <w14:schemeClr w14:val="tx1"/>
            </w14:solidFill>
          </w14:textFill>
        </w:rPr>
        <w:t>承诺函</w:t>
      </w:r>
    </w:p>
    <w:p>
      <w:pPr>
        <w:keepNext w:val="0"/>
        <w:keepLines w:val="0"/>
        <w:pageBreakBefore w:val="0"/>
        <w:widowControl/>
        <w:kinsoku/>
        <w:wordWrap/>
        <w:overflowPunct/>
        <w:topLinePunct w:val="0"/>
        <w:autoSpaceDE/>
        <w:autoSpaceDN/>
        <w:bidi w:val="0"/>
        <w:snapToGrid/>
        <w:spacing w:line="580" w:lineRule="exact"/>
        <w:ind w:firstLine="480" w:firstLineChars="200"/>
        <w:jc w:val="lef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本公司</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（单位名称）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参加</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（项目名称）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的</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活动，现根关于</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供应商</w:t>
      </w:r>
      <w:r>
        <w:rPr>
          <w:rFonts w:hint="default" w:ascii="Times New Roman" w:hAnsi="Times New Roman" w:eastAsia="方正仿宋" w:cs="Times New Roman"/>
          <w:color w:val="000000" w:themeColor="text1"/>
          <w:sz w:val="24"/>
          <w:szCs w:val="24"/>
          <w:highlight w:val="none"/>
          <w14:textFill>
            <w14:solidFill>
              <w14:schemeClr w14:val="tx1"/>
            </w14:solidFill>
          </w14:textFill>
        </w:rPr>
        <w:t>资格要求的相关规定，特别针对以下条款，郑重承诺：</w:t>
      </w:r>
    </w:p>
    <w:p>
      <w:pPr>
        <w:keepNext w:val="0"/>
        <w:keepLines w:val="0"/>
        <w:pageBreakBefore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1、具有独立承担民事责任的能力；</w:t>
      </w:r>
    </w:p>
    <w:p>
      <w:pPr>
        <w:keepNext w:val="0"/>
        <w:keepLines w:val="0"/>
        <w:pageBreakBefore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2、具有良好的商业信誉和健全的财务会计制度；</w:t>
      </w:r>
    </w:p>
    <w:p>
      <w:pPr>
        <w:keepNext w:val="0"/>
        <w:keepLines w:val="0"/>
        <w:pageBreakBefore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3、具有履行合同所必须的设备和专业技术能力；</w:t>
      </w:r>
    </w:p>
    <w:p>
      <w:pPr>
        <w:keepNext w:val="0"/>
        <w:keepLines w:val="0"/>
        <w:pageBreakBefore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4、具有依法缴纳税收和社会保障资金的良好记录；</w:t>
      </w:r>
    </w:p>
    <w:p>
      <w:pPr>
        <w:keepNext w:val="0"/>
        <w:keepLines w:val="0"/>
        <w:pageBreakBefore w:val="0"/>
        <w:widowControl/>
        <w:kinsoku/>
        <w:wordWrap/>
        <w:overflowPunct/>
        <w:topLinePunct w:val="0"/>
        <w:autoSpaceDE/>
        <w:autoSpaceDN/>
        <w:bidi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5、参加本次</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报价活动</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前三年内，在经营活动中没有重大违法记录。</w:t>
      </w:r>
    </w:p>
    <w:p>
      <w:pPr>
        <w:keepNext w:val="0"/>
        <w:keepLines w:val="0"/>
        <w:pageBreakBefore w:val="0"/>
        <w:widowControl/>
        <w:kinsoku/>
        <w:wordWrap/>
        <w:overflowPunct/>
        <w:topLinePunct w:val="0"/>
        <w:autoSpaceDE/>
        <w:autoSpaceDN/>
        <w:bidi w:val="0"/>
        <w:snapToGrid/>
        <w:spacing w:line="580" w:lineRule="exact"/>
        <w:ind w:firstLine="480" w:firstLineChars="200"/>
        <w:jc w:val="lef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如违反以上承诺，本公司愿承担一切法律责任。</w:t>
      </w:r>
    </w:p>
    <w:p>
      <w:pPr>
        <w:keepNext w:val="0"/>
        <w:keepLines w:val="0"/>
        <w:pageBreakBefore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p>
    <w:p>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报价单位</w:t>
      </w:r>
      <w:r>
        <w:rPr>
          <w:rFonts w:hint="default" w:ascii="Times New Roman" w:hAnsi="Times New Roman" w:eastAsia="方正仿宋" w:cs="Times New Roman"/>
          <w:color w:val="000000" w:themeColor="text1"/>
          <w:sz w:val="24"/>
          <w:szCs w:val="24"/>
          <w:highlight w:val="none"/>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（盖单位公章）</w:t>
      </w:r>
    </w:p>
    <w:p>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（签字）</w:t>
      </w:r>
    </w:p>
    <w:p>
      <w:pPr>
        <w:pStyle w:val="2"/>
        <w:wordWrap w:val="0"/>
        <w:jc w:val="right"/>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日 期</w:t>
      </w:r>
      <w:r>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年</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月</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日</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w:hAnsi="Times New Roman" w:eastAsia="宋体" w:cs="Times New Roman"/>
          <w:sz w:val="28"/>
          <w:szCs w:val="36"/>
          <w:highlight w:val="none"/>
          <w:lang w:val="en-US" w:eastAsia="zh-CN"/>
        </w:rPr>
      </w:pPr>
      <w:r>
        <w:rPr>
          <w:rFonts w:hint="default" w:ascii="Times New Roman" w:hAnsi="Times New Roman" w:eastAsia="宋体" w:cs="Times New Roman"/>
          <w:sz w:val="28"/>
          <w:szCs w:val="36"/>
          <w:highlight w:val="none"/>
          <w:lang w:val="en-US" w:eastAsia="zh-CN"/>
        </w:rPr>
        <w:br w:type="page"/>
      </w:r>
    </w:p>
    <w:p>
      <w:pPr>
        <w:rPr>
          <w:rFonts w:hint="eastAsia" w:ascii="仿宋" w:hAnsi="仿宋" w:eastAsia="仿宋" w:cs="仿宋"/>
          <w:sz w:val="28"/>
          <w:szCs w:val="28"/>
          <w:highlight w:val="none"/>
        </w:rPr>
      </w:pPr>
    </w:p>
    <w:p>
      <w:pPr>
        <w:spacing w:line="360" w:lineRule="auto"/>
        <w:jc w:val="center"/>
        <w:rPr>
          <w:rFonts w:hint="eastAsia" w:eastAsia="仿宋"/>
          <w:highlight w:val="none"/>
          <w:lang w:eastAsia="zh-CN"/>
        </w:rPr>
      </w:pPr>
      <w:r>
        <w:rPr>
          <w:rFonts w:hint="eastAsia" w:ascii="仿宋" w:hAnsi="仿宋" w:eastAsia="仿宋" w:cs="仿宋"/>
          <w:b/>
          <w:bCs/>
          <w:sz w:val="28"/>
          <w:szCs w:val="28"/>
          <w:highlight w:val="none"/>
          <w:lang w:val="en-US" w:eastAsia="zh-CN"/>
        </w:rPr>
        <w:t>四</w:t>
      </w:r>
      <w:r>
        <w:rPr>
          <w:rFonts w:ascii="仿宋" w:hAnsi="仿宋" w:eastAsia="仿宋" w:cs="仿宋"/>
          <w:b/>
          <w:bCs/>
          <w:sz w:val="28"/>
          <w:szCs w:val="28"/>
          <w:highlight w:val="none"/>
        </w:rPr>
        <w:t>、</w:t>
      </w:r>
      <w:r>
        <w:rPr>
          <w:rFonts w:hint="eastAsia" w:ascii="仿宋" w:hAnsi="仿宋" w:eastAsia="仿宋" w:cs="仿宋"/>
          <w:b/>
          <w:bCs/>
          <w:sz w:val="28"/>
          <w:szCs w:val="28"/>
          <w:highlight w:val="none"/>
          <w:lang w:val="en-US" w:eastAsia="zh-CN"/>
        </w:rPr>
        <w:t>报价人</w:t>
      </w:r>
      <w:r>
        <w:rPr>
          <w:rFonts w:hint="eastAsia" w:ascii="仿宋" w:hAnsi="仿宋" w:eastAsia="仿宋" w:cs="仿宋"/>
          <w:b/>
          <w:bCs/>
          <w:sz w:val="28"/>
          <w:szCs w:val="28"/>
          <w:highlight w:val="none"/>
        </w:rPr>
        <w:t>认为需提供的其他材料，如资质证书等</w:t>
      </w:r>
    </w:p>
    <w:p>
      <w:pPr>
        <w:spacing w:line="360" w:lineRule="auto"/>
        <w:jc w:val="center"/>
        <w:rPr>
          <w:highlight w:val="none"/>
        </w:rPr>
      </w:pPr>
    </w:p>
    <w:p>
      <w:pPr>
        <w:pStyle w:val="2"/>
        <w:rPr>
          <w:rFonts w:hint="default"/>
          <w:highlight w:val="none"/>
          <w:lang w:val="en-US" w:eastAsia="zh-CN"/>
        </w:rPr>
      </w:pP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53E3C"/>
    <w:multiLevelType w:val="singleLevel"/>
    <w:tmpl w:val="C1F53E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kOWE3NWNhZTFjODNlY2IxMzk2ZTFiMGFlZTQ2ZGIifQ=="/>
  </w:docVars>
  <w:rsids>
    <w:rsidRoot w:val="00000000"/>
    <w:rsid w:val="1AC01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qFormat/>
    <w:uiPriority w:val="0"/>
    <w:pPr>
      <w:keepNext/>
      <w:jc w:val="left"/>
      <w:outlineLvl w:val="1"/>
    </w:pPr>
    <w:rPr>
      <w:rFonts w:ascii="宋体" w:hAnsi="宋体"/>
      <w:b/>
      <w:bCs/>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styleId="3">
    <w:name w:val="Plain Text"/>
    <w:basedOn w:val="1"/>
    <w:qFormat/>
    <w:uiPriority w:val="0"/>
    <w:rPr>
      <w:rFonts w:ascii="宋体" w:hAnsi="Courier New" w:eastAsia="宋体" w:cs="Courier New"/>
      <w:szCs w:val="21"/>
    </w:rPr>
  </w:style>
  <w:style w:type="paragraph" w:styleId="5">
    <w:name w:val="Body Text Indent 2"/>
    <w:basedOn w:val="1"/>
    <w:next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customStyle="1" w:styleId="10">
    <w:name w:val="p0"/>
    <w:basedOn w:val="1"/>
    <w:qFormat/>
    <w:uiPriority w:val="99"/>
    <w:pPr>
      <w:widowControl/>
    </w:pPr>
    <w:rPr>
      <w:kern w:val="0"/>
      <w:szCs w:val="21"/>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Office_11.1.0.14246_F1E327BC-269C-435d-A152-05C5408002CA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2026-07-08T06:49:58Z</dcterms:created>
  <dc:creator>DELL</dc:creator>
  <cp:lastModifiedBy>Lucille</cp:lastModifiedBy>
  <dcterms:modified xsi:type="dcterms:W3CDTF">2026-07-08T06:50:05Z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2052-11.1.0.14246</vt:lpwstr>
  </property>
  <property fmtid="{D5CDD505-2E9C-101B-9397-08002B2CF9AE}" pid="3" name="ICV">
    <vt:lpwstr>3A3147A9FC444A2E9E9D442276EE2E61_12</vt:lpwstr>
  </property>
</Properties>
</file>