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成都天府国际生物城发展集团有限公司及其下属各级子公司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2026年-2029年机票代理服务项目商务、技术及服务要求</w:t>
      </w: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一、项目概况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1、项目名称：成都天府国际生物城发展集团有限公司及其下属各级子公司2026年-2029年机票代理服务项目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2、项目基本情况介绍：</w:t>
      </w:r>
    </w:p>
    <w:p>
      <w:pPr>
        <w:spacing w:line="360" w:lineRule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集团因差旅相关业务需要，采购集团及下属各级子公司</w:t>
      </w:r>
      <w:r>
        <w:rPr>
          <w:rFonts w:hint="eastAsia" w:ascii="Times New Roman" w:hAnsi="Times New Roman" w:eastAsia="方正仿宋" w:cs="Times New Roman"/>
          <w:sz w:val="24"/>
          <w:lang w:val="en-US" w:eastAsia="zh-CN"/>
        </w:rPr>
        <w:t>（</w:t>
      </w:r>
      <w:r>
        <w:rPr>
          <w:rFonts w:hint="eastAsia" w:eastAsia="方正仿宋" w:cs="Times New Roman"/>
          <w:sz w:val="24"/>
          <w:lang w:val="en-US" w:eastAsia="zh-CN"/>
        </w:rPr>
        <w:t>含</w:t>
      </w:r>
      <w:r>
        <w:rPr>
          <w:rFonts w:hint="eastAsia" w:ascii="Times New Roman" w:hAnsi="Times New Roman" w:eastAsia="方正仿宋" w:cs="Times New Roman"/>
          <w:sz w:val="24"/>
          <w:lang w:val="en-US" w:eastAsia="zh-CN"/>
        </w:rPr>
        <w:t>成都生物城建设有限公司、成都生物城城市运营有限公司、成都生物城股权投资有限公司、成都国生创新科技服务有限公司</w:t>
      </w:r>
      <w:r>
        <w:rPr>
          <w:rFonts w:hint="eastAsia" w:eastAsia="方正仿宋" w:cs="Times New Roman"/>
          <w:sz w:val="24"/>
          <w:lang w:val="en-US" w:eastAsia="zh-CN"/>
        </w:rPr>
        <w:t>、</w:t>
      </w:r>
      <w:r>
        <w:rPr>
          <w:rFonts w:hint="eastAsia" w:ascii="Times New Roman" w:hAnsi="Times New Roman" w:eastAsia="方正仿宋" w:cs="Times New Roman"/>
          <w:sz w:val="24"/>
          <w:lang w:val="en-US" w:eastAsia="zh-CN"/>
        </w:rPr>
        <w:t>成都生物城股权投资基金管理有限公司</w:t>
      </w:r>
      <w:r>
        <w:rPr>
          <w:rFonts w:hint="eastAsia" w:eastAsia="方正仿宋" w:cs="Times New Roman"/>
          <w:sz w:val="24"/>
          <w:lang w:val="en-US" w:eastAsia="zh-CN"/>
        </w:rPr>
        <w:t>、成都国生城市更新建设发展有限公司</w:t>
      </w:r>
      <w:r>
        <w:rPr>
          <w:rFonts w:hint="eastAsia" w:ascii="Times New Roman" w:hAnsi="Times New Roman" w:eastAsia="方正仿宋" w:cs="Times New Roman"/>
          <w:sz w:val="24"/>
          <w:lang w:val="en-US" w:eastAsia="zh-CN"/>
        </w:rPr>
        <w:t>以及合同期内新增各级全资子公司）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提供机票预订代理服务</w:t>
      </w:r>
      <w:r>
        <w:rPr>
          <w:rFonts w:hint="eastAsia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 xml:space="preserve">二、商务要求： 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1、服务期限：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026年-2029年，共3年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、支付方式：甲乙双方约定付款方式为月结。甲乙双方核对服务费后于次月30日前一次性支付上月服务费。合同期限内最后一次付款时，由双方办理结算，甲方应于合同期限届满后30日内完成结算并支付至结算价款的100%。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机票款为乙方垫付，乙方向甲方提供真实合法的机票行程单，由甲方核对无误后同当期服务费一并支付给乙方。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三、技术、服务要求：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确定成交单位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后，由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成交单位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与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比价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人及其下属子公司分别签订合同，合同截止日期保持一致。</w:t>
      </w:r>
    </w:p>
    <w:p>
      <w:pPr>
        <w:spacing w:line="360" w:lineRule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、服务内容：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乙方向甲方</w:t>
      </w:r>
      <w:r>
        <w:rPr>
          <w:rFonts w:hint="eastAsia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及其下属各级子公司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提供机票预订代理服务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、服务要求：改签、退票除按照航司正常收取相关手续费外不再另外收取服务费，也不退还已收服务费。</w:t>
      </w:r>
    </w:p>
    <w:p>
      <w:pPr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br w:type="page"/>
      </w:r>
    </w:p>
    <w:p>
      <w:pP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黑体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  <w:t>：</w:t>
      </w:r>
      <w:r>
        <w:rPr>
          <w:rFonts w:hint="eastAsia" w:ascii="Times New Roman" w:hAnsi="Times New Roman" w:eastAsia="方正黑体" w:cs="Times New Roman"/>
          <w:sz w:val="32"/>
          <w:szCs w:val="40"/>
          <w:lang w:val="en-US" w:eastAsia="zh-CN"/>
        </w:rPr>
        <w:t>评选规则</w:t>
      </w: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评选规则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以所有潜在供应商报价平均价作为基准价，基准价偏差率最小的为最终成交单位。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注：基准价偏差率：|（报价-基准价）/基准价|，偏差率最小为最</w:t>
      </w:r>
      <w:bookmarkStart w:id="3" w:name="_GoBack"/>
      <w:bookmarkEnd w:id="3"/>
      <w:r>
        <w:rPr>
          <w:rFonts w:hint="default" w:ascii="Times New Roman" w:hAnsi="Times New Roman" w:eastAsia="方正仿宋" w:cs="Times New Roman"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终成交单位，若偏差率相同选择价格低的为最终成交单位，若偏差率相同且价格相同，则需现场二次报价，报价由授权代理人签字确认后，选择价格低的为最终成交单位。</w:t>
      </w:r>
    </w:p>
    <w:p/>
    <w:p>
      <w:pPr>
        <w:rPr>
          <w:rFonts w:hint="default"/>
        </w:rPr>
      </w:pPr>
      <w:r>
        <w:rPr>
          <w:rFonts w:hint="default"/>
        </w:rPr>
        <w:br w:type="page"/>
      </w:r>
    </w:p>
    <w:p>
      <w:pP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" w:cs="Times New Roman"/>
          <w:sz w:val="32"/>
          <w:szCs w:val="40"/>
          <w:lang w:val="en-US" w:eastAsia="zh-CN"/>
        </w:rPr>
        <w:t>附件3：</w:t>
      </w:r>
      <w: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  <w:t>比价文件格式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一、报价函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bookmarkStart w:id="0" w:name="_Toc388973893"/>
      <w:bookmarkStart w:id="1" w:name="_Toc391712470"/>
      <w:bookmarkStart w:id="2" w:name="_Toc301432628"/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致：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eastAsia="zh-CN"/>
        </w:rPr>
        <w:t xml:space="preserve">               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项目业主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2" w:firstLineChars="200"/>
        <w:contextualSpacing/>
        <w:textAlignment w:val="auto"/>
        <w:rPr>
          <w:rFonts w:hint="default" w:ascii="Times New Roman" w:hAnsi="Times New Roman" w:eastAsia="方正仿宋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b/>
          <w:bCs w:val="0"/>
          <w:color w:val="000000"/>
          <w:sz w:val="24"/>
          <w:szCs w:val="24"/>
          <w:lang w:val="en-US" w:eastAsia="zh-CN"/>
        </w:rPr>
        <w:t>报价：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我方在充分理解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公告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要求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及相关资料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的基础上，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结合企业自身情况及管理经验，我方</w:t>
      </w:r>
      <w:r>
        <w:rPr>
          <w:rFonts w:hint="eastAsia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报价如下：</w:t>
      </w:r>
    </w:p>
    <w:tbl>
      <w:tblPr>
        <w:tblStyle w:val="8"/>
        <w:tblW w:w="10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855"/>
        <w:gridCol w:w="945"/>
        <w:gridCol w:w="800"/>
        <w:gridCol w:w="1733"/>
        <w:gridCol w:w="867"/>
        <w:gridCol w:w="2395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含税金额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税金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增值服务说明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8" w:hRule="atLeast"/>
          <w:jc w:val="center"/>
        </w:trPr>
        <w:tc>
          <w:tcPr>
            <w:tcW w:w="217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飞机票代理服务费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￥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增值服务1:里程积分，辅助完成与各航空的大客户协议，通过完成各航空任务给予一定的积分(可换取相应的免票)；</w:t>
            </w:r>
          </w:p>
          <w:p>
            <w:pP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增值服务2:升舱服务，在航空座位条件允许且免费的情况，可免费为客户领导升舱；</w:t>
            </w:r>
          </w:p>
          <w:p>
            <w:pP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增值服务3:选座，购票后，为其员工选取座位，提供值机服务(提前网上办理值机手续)。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000000"/>
          <w:kern w:val="0"/>
          <w:sz w:val="24"/>
          <w:szCs w:val="24"/>
        </w:rPr>
        <w:t>上述报价</w:t>
      </w:r>
      <w:r>
        <w:rPr>
          <w:rFonts w:hint="eastAsia" w:ascii="Times New Roman" w:hAnsi="Times New Roman" w:eastAsia="方正仿宋" w:cs="Times New Roman"/>
          <w:color w:val="000000"/>
          <w:kern w:val="0"/>
          <w:sz w:val="24"/>
          <w:szCs w:val="24"/>
          <w:lang w:val="en-US" w:eastAsia="zh-CN"/>
        </w:rPr>
        <w:t>包含税费</w:t>
      </w:r>
      <w:r>
        <w:rPr>
          <w:rFonts w:hint="eastAsia" w:ascii="Times New Roman" w:hAnsi="Times New Roman" w:eastAsia="方正仿宋" w:cs="Times New Roman"/>
          <w:b/>
          <w:bCs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方正仿宋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  <w:t>报价有效期30天</w:t>
      </w:r>
      <w:r>
        <w:rPr>
          <w:rFonts w:hint="default" w:ascii="Times New Roman" w:hAnsi="Times New Roman" w:eastAsia="方正仿宋" w:cs="Times New Roman"/>
          <w:color w:val="000000"/>
          <w:kern w:val="0"/>
          <w:sz w:val="24"/>
          <w:szCs w:val="2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2" w:firstLineChars="200"/>
        <w:textAlignment w:val="auto"/>
        <w:rPr>
          <w:rFonts w:hint="default" w:ascii="Times New Roman" w:hAnsi="Times New Roman" w:eastAsia="方正仿宋" w:cs="Times New Roman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b/>
          <w:bCs w:val="0"/>
          <w:color w:val="000000"/>
          <w:sz w:val="24"/>
          <w:szCs w:val="24"/>
          <w:lang w:val="en-US" w:eastAsia="zh-CN"/>
        </w:rPr>
        <w:t>二、承诺：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、我方完全同意自行承担为参加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所发生的一切费用。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、我方承诺在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highlight w:val="none"/>
        </w:rPr>
        <w:t>有效期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内不修改、不撤销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、除非另外达成协议并生效，你方的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比价记录表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和我方的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文件将构成约束我们双方的合同。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、我方承诺严格按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比价记录表内容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及双方签订书面合同约定的内容履行责任与义务。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、我方承诺：如我方提供的服务不能满足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项目业主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的要求，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项目业主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可随时更换，我方对此无异议。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、我方所递交的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文件已充分考虑了各种外部因素对报价的影响；我方完全同意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公告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规定的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报价文件递交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截止时间；若我方擅自放弃参加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此次报价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、参加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后擅自撤回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文件或是由于自身的过错而不能缔结合同，及你方发现我方的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</w:rPr>
        <w:t>文件资料有隐瞒、欺诈行</w:t>
      </w: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为的，将取消资格。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bCs/>
          <w:color w:val="000000"/>
          <w:sz w:val="24"/>
          <w:szCs w:val="24"/>
          <w:lang w:val="en-US" w:eastAsia="zh-CN"/>
        </w:rPr>
        <w:t>7、我方愿意提供贵公司可能另外要求的与报价有关的文件资料，并保证我方已提供和将要提供的文件资料是真实、准确的。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报价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 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（盖单位公章）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法定代表人或其授权委托代理人：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（签字）</w:t>
      </w:r>
    </w:p>
    <w:p>
      <w:pPr>
        <w:wordWrap w:val="0"/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日 期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日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 xml:space="preserve">             </w:t>
      </w:r>
    </w:p>
    <w:bookmarkEnd w:id="0"/>
    <w:bookmarkEnd w:id="1"/>
    <w:bookmarkEnd w:id="2"/>
    <w:p>
      <w:pPr>
        <w:pStyle w:val="11"/>
        <w:spacing w:line="360" w:lineRule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sectPr>
          <w:pgSz w:w="11906" w:h="16838"/>
          <w:pgMar w:top="1247" w:right="1134" w:bottom="1134" w:left="1247" w:header="851" w:footer="851" w:gutter="0"/>
          <w:cols w:space="720" w:num="1"/>
          <w:docGrid w:linePitch="312" w:charSpace="0"/>
        </w:sectPr>
      </w:pPr>
    </w:p>
    <w:p>
      <w:pPr>
        <w:pStyle w:val="4"/>
        <w:tabs>
          <w:tab w:val="left" w:pos="0"/>
        </w:tabs>
        <w:spacing w:line="360" w:lineRule="auto"/>
        <w:ind w:left="1606" w:hanging="1606"/>
        <w:jc w:val="center"/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本人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（身份证号码）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系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供应商名称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的法定代表人，现委托本单位人员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（身份证号码）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为我方代理人。代理人根据授权，以我方名义签署、说明、递交、撤回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（项目名称）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文件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以及二次报价（若有）、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处理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报价过程中的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委托期限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自本授权委托书签署之日起至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>比价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结束结束为止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附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法定代表人身份证明和法定代表人身份证复印件或扫描件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960" w:firstLineChars="4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委托代理人身份证复印件或扫描件和社保证明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（盖单位公章）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法定代表人：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委托代理人：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（固定电话）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（移动电话）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 期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</w:p>
    <w:p>
      <w:pPr>
        <w:tabs>
          <w:tab w:val="left" w:pos="8739"/>
        </w:tabs>
        <w:spacing w:line="360" w:lineRule="auto"/>
        <w:ind w:left="473" w:leftChars="225" w:right="-69" w:rightChars="-33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>
      <w:pPr>
        <w:spacing w:line="360" w:lineRule="auto"/>
        <w:ind w:firstLine="3255" w:firstLineChars="1550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ind w:firstLine="3255" w:firstLineChars="1550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注：本授权委托书为法定代表人不亲自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而委托代理人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适用。</w:t>
      </w:r>
    </w:p>
    <w:p>
      <w:pP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center"/>
        <w:textAlignment w:val="auto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二、法定代表人身份证明</w:t>
      </w:r>
    </w:p>
    <w:p>
      <w:pPr>
        <w:spacing w:line="360" w:lineRule="auto"/>
        <w:ind w:right="-4" w:rightChars="-2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单位性质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地址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成立时间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经营期限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系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单位名称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的法定代表人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职务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电话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spacing w:line="360" w:lineRule="auto"/>
        <w:ind w:left="359" w:leftChars="171" w:right="-4" w:rightChars="-2" w:firstLine="480" w:firstLineChars="200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ind w:left="359" w:leftChars="171" w:right="-4" w:rightChars="-2" w:firstLine="480" w:firstLineChars="200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特此证明。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spacing w:line="360" w:lineRule="auto"/>
        <w:ind w:left="359" w:leftChars="171" w:right="-4" w:rightChars="-2" w:firstLine="480" w:firstLineChars="200"/>
        <w:jc w:val="right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spacing w:line="360" w:lineRule="auto"/>
        <w:ind w:left="359" w:leftChars="171" w:right="-4" w:rightChars="-2" w:firstLine="480" w:firstLineChars="200"/>
        <w:jc w:val="right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盖单位章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注：法定代表人亲自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报价的需提供法定代表人身份证明和法定代表人身份证复印件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>
      <w:pPr>
        <w:pStyle w:val="4"/>
        <w:tabs>
          <w:tab w:val="left" w:pos="0"/>
        </w:tabs>
        <w:spacing w:line="360" w:lineRule="auto"/>
        <w:ind w:left="1606" w:hanging="1606"/>
        <w:jc w:val="center"/>
        <w:rPr>
          <w:rFonts w:hint="default" w:ascii="Times New Roman" w:hAnsi="Times New Roman" w:eastAsia="方正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" w:cs="Times New Roman"/>
          <w:color w:val="000000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仿宋" w:cs="Times New Roman"/>
          <w:color w:val="000000"/>
          <w:sz w:val="28"/>
          <w:szCs w:val="28"/>
        </w:rPr>
        <w:t>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本公司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（单位名称）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参加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（项目名称）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的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活动，现根关于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供应商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资格要求的相关规定，特别针对以下条款，郑重承诺：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2、具有良好的商业信誉和健全的财务会计制度；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3、具有履行合同所必须的设备和专业技术能力；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4、具有依法缴纳税收和社会保障资金的良好记录；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5、参加本次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报价活动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前三年内，在经营活动中没有重大违法记录。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如违反以上承诺，本公司愿承担一切法律责任。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>报价单位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（盖单位公章）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法定代表人或其授权委托代理人：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（签字）</w:t>
      </w:r>
    </w:p>
    <w:p>
      <w:pPr>
        <w:pStyle w:val="2"/>
        <w:wordWrap w:val="0"/>
        <w:jc w:val="right"/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日 期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</w:rPr>
        <w:t>日</w:t>
      </w:r>
      <w:r>
        <w:rPr>
          <w:rFonts w:hint="default" w:ascii="Times New Roman" w:hAnsi="Times New Roman" w:eastAsia="方正仿宋" w:cs="Times New Roman"/>
          <w:color w:val="000000"/>
          <w:sz w:val="24"/>
          <w:szCs w:val="24"/>
          <w:lang w:val="en-US" w:eastAsia="zh-CN"/>
        </w:rPr>
        <w:t xml:space="preserve">            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85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方正仿宋" w:cs="Times New Roman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9955E3-8E95-48C4-B6F1-8B43281D9B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3B2617-3915-4917-BA7E-E06B8C195830}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A15769-2B6B-45FB-9C1A-AD18106B5E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53E3C"/>
    <w:multiLevelType w:val="singleLevel"/>
    <w:tmpl w:val="C1F53E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78B1C8A"/>
    <w:rsid w:val="0C34295A"/>
    <w:rsid w:val="0DC15DCD"/>
    <w:rsid w:val="0E4E453B"/>
    <w:rsid w:val="1ADB1984"/>
    <w:rsid w:val="208D6D72"/>
    <w:rsid w:val="21122EF0"/>
    <w:rsid w:val="25B2068B"/>
    <w:rsid w:val="25F84C20"/>
    <w:rsid w:val="27490680"/>
    <w:rsid w:val="2916321C"/>
    <w:rsid w:val="33BB4F7A"/>
    <w:rsid w:val="36262C5A"/>
    <w:rsid w:val="375F6D87"/>
    <w:rsid w:val="3EA84BAA"/>
    <w:rsid w:val="462977B0"/>
    <w:rsid w:val="46AA08D3"/>
    <w:rsid w:val="51766213"/>
    <w:rsid w:val="53220343"/>
    <w:rsid w:val="569108F4"/>
    <w:rsid w:val="56EE569A"/>
    <w:rsid w:val="59126EAD"/>
    <w:rsid w:val="5B8D51BE"/>
    <w:rsid w:val="5DFE7776"/>
    <w:rsid w:val="620A7CD7"/>
    <w:rsid w:val="678B1C8A"/>
    <w:rsid w:val="67CD31E6"/>
    <w:rsid w:val="6AEB4D1A"/>
    <w:rsid w:val="70546E61"/>
    <w:rsid w:val="74A84DAA"/>
    <w:rsid w:val="759A2523"/>
    <w:rsid w:val="76C23B19"/>
    <w:rsid w:val="7BDC10B2"/>
    <w:rsid w:val="7E042A45"/>
    <w:rsid w:val="7E9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qFormat/>
    <w:uiPriority w:val="0"/>
    <w:pPr>
      <w:keepNext/>
      <w:jc w:val="left"/>
      <w:outlineLvl w:val="1"/>
    </w:pPr>
    <w:rPr>
      <w:rFonts w:ascii="宋体" w:hAnsi="宋体"/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" w:after="120" w:line="400" w:lineRule="exact"/>
    </w:pPr>
    <w:rPr>
      <w:rFonts w:eastAsia="仿宋_GB2312"/>
      <w:sz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2043</Words>
  <Characters>2073</Characters>
  <Lines>0</Lines>
  <Paragraphs>0</Paragraphs>
  <TotalTime>11</TotalTime>
  <ScaleCrop>false</ScaleCrop>
  <LinksUpToDate>false</LinksUpToDate>
  <CharactersWithSpaces>2449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2026-06-18T01:54:00Z</dcterms:created>
  <dc:creator>汪文静</dc:creator>
  <cp:lastModifiedBy>汪文静</cp:lastModifiedBy>
  <dcterms:modified xsi:type="dcterms:W3CDTF">2026-07-01T03:28:26Z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DE1F4F0C75A84D168EC03CBB33658F4A_13</vt:lpwstr>
  </property>
</Properties>
</file>