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97CCB">
      <w:pPr>
        <w:jc w:val="left"/>
        <w:rPr>
          <w:rFonts w:hint="default" w:ascii="Times New Roman" w:hAnsi="Times New Roman" w:eastAsia="方正黑体_GBK" w:cs="Times New Roman"/>
          <w:sz w:val="24"/>
          <w:szCs w:val="24"/>
          <w:lang w:val="en-US" w:eastAsia="zh-CN"/>
        </w:rPr>
      </w:pPr>
      <w:r>
        <w:rPr>
          <w:rFonts w:hint="default" w:ascii="Times New Roman" w:hAnsi="Times New Roman" w:eastAsia="方正黑体_GBK" w:cs="Times New Roman"/>
          <w:sz w:val="24"/>
          <w:szCs w:val="24"/>
          <w:lang w:val="en-US" w:eastAsia="zh-CN"/>
        </w:rPr>
        <w:t>附件</w:t>
      </w:r>
    </w:p>
    <w:p w14:paraId="7C9F1199">
      <w:pPr>
        <w:jc w:val="center"/>
        <w:rPr>
          <w:rFonts w:hint="default" w:ascii="Times New Roman" w:hAnsi="Times New Roman" w:eastAsia="方正黑体_GBK" w:cs="Times New Roman"/>
          <w:sz w:val="36"/>
          <w:szCs w:val="36"/>
          <w:lang w:val="en-US" w:eastAsia="zh-CN"/>
        </w:rPr>
      </w:pPr>
      <w:r>
        <w:rPr>
          <w:rFonts w:hint="default" w:ascii="Times New Roman" w:hAnsi="Times New Roman" w:eastAsia="方正黑体_GBK" w:cs="Times New Roman"/>
          <w:sz w:val="36"/>
          <w:szCs w:val="36"/>
          <w:lang w:val="en-US" w:eastAsia="zh-CN"/>
        </w:rPr>
        <w:t>报价单</w:t>
      </w:r>
    </w:p>
    <w:p w14:paraId="26568E6E">
      <w:pPr>
        <w:rPr>
          <w:rFonts w:hint="default" w:ascii="Times New Roman" w:hAnsi="Times New Roman" w:cs="Times New Roman"/>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6600"/>
      </w:tblGrid>
      <w:tr w14:paraId="561F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922" w:type="dxa"/>
            <w:vAlign w:val="center"/>
          </w:tcPr>
          <w:p w14:paraId="5A6EEAD7">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询价单位</w:t>
            </w:r>
          </w:p>
        </w:tc>
        <w:tc>
          <w:tcPr>
            <w:tcW w:w="6600" w:type="dxa"/>
            <w:vAlign w:val="center"/>
          </w:tcPr>
          <w:p w14:paraId="0FBAB9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cs="Times New Roman"/>
                <w:lang w:val="en-US" w:eastAsia="zh-CN"/>
              </w:rPr>
            </w:pPr>
            <w:r>
              <w:rPr>
                <w:rFonts w:hint="default" w:ascii="Times New Roman" w:hAnsi="Times New Roman" w:cs="Times New Roman"/>
                <w:sz w:val="24"/>
                <w:szCs w:val="24"/>
                <w:vertAlign w:val="baseline"/>
                <w:lang w:val="en-US" w:eastAsia="zh-CN"/>
              </w:rPr>
              <w:t>成都生物城股权投资基金管理有限公司</w:t>
            </w:r>
          </w:p>
        </w:tc>
      </w:tr>
      <w:tr w14:paraId="79F67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922" w:type="dxa"/>
            <w:vAlign w:val="center"/>
          </w:tcPr>
          <w:p w14:paraId="76C803AC">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采购项目</w:t>
            </w:r>
          </w:p>
        </w:tc>
        <w:tc>
          <w:tcPr>
            <w:tcW w:w="6600" w:type="dxa"/>
            <w:vAlign w:val="center"/>
          </w:tcPr>
          <w:p w14:paraId="21A15EA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vertAlign w:val="baseline"/>
                <w:lang w:val="en-US" w:eastAsia="zh-CN"/>
              </w:rPr>
            </w:pPr>
            <w:r>
              <w:rPr>
                <w:rFonts w:hint="default" w:ascii="Times New Roman" w:hAnsi="Times New Roman" w:eastAsia="方正仿宋" w:cs="Times New Roman"/>
                <w:color w:val="000000"/>
                <w:kern w:val="0"/>
                <w:sz w:val="24"/>
                <w:szCs w:val="24"/>
                <w:lang w:val="en-US" w:eastAsia="zh-CN" w:bidi="ar"/>
              </w:rPr>
              <w:t>【H基金】</w:t>
            </w:r>
            <w:r>
              <w:rPr>
                <w:rFonts w:hint="default" w:ascii="Times New Roman" w:hAnsi="Times New Roman" w:cs="Times New Roman"/>
                <w:sz w:val="24"/>
                <w:szCs w:val="24"/>
                <w:vertAlign w:val="baseline"/>
                <w:lang w:val="en-US" w:eastAsia="zh-CN"/>
              </w:rPr>
              <w:t>设立专项法律服务</w:t>
            </w:r>
          </w:p>
        </w:tc>
      </w:tr>
      <w:tr w14:paraId="79A6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6" w:hRule="atLeast"/>
          <w:jc w:val="center"/>
        </w:trPr>
        <w:tc>
          <w:tcPr>
            <w:tcW w:w="1922" w:type="dxa"/>
            <w:vAlign w:val="center"/>
          </w:tcPr>
          <w:p w14:paraId="601BE88E">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服务内容</w:t>
            </w:r>
          </w:p>
        </w:tc>
        <w:tc>
          <w:tcPr>
            <w:tcW w:w="6600" w:type="dxa"/>
            <w:vAlign w:val="center"/>
          </w:tcPr>
          <w:p w14:paraId="2093DC64">
            <w:pPr>
              <w:pStyle w:val="3"/>
              <w:numPr>
                <w:ilvl w:val="0"/>
                <w:numId w:val="0"/>
              </w:numPr>
              <w:ind w:firstLine="480" w:firstLineChars="200"/>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 w:cs="Times New Roman"/>
                <w:b w:val="0"/>
                <w:bCs w:val="0"/>
                <w:color w:val="000000"/>
                <w:kern w:val="0"/>
                <w:sz w:val="24"/>
                <w:szCs w:val="24"/>
                <w:lang w:val="en-US" w:eastAsia="zh-CN" w:bidi="ar"/>
              </w:rPr>
              <w:t>协助进行基金架构设计；协助</w:t>
            </w:r>
            <w:r>
              <w:rPr>
                <w:rFonts w:hint="eastAsia" w:ascii="Times New Roman" w:hAnsi="Times New Roman" w:eastAsia="方正仿宋" w:cs="Times New Roman"/>
                <w:b w:val="0"/>
                <w:bCs w:val="0"/>
                <w:color w:val="000000"/>
                <w:kern w:val="0"/>
                <w:sz w:val="24"/>
                <w:szCs w:val="24"/>
                <w:lang w:val="en-US" w:eastAsia="zh-CN" w:bidi="ar"/>
              </w:rPr>
              <w:t>询价单位</w:t>
            </w:r>
            <w:r>
              <w:rPr>
                <w:rFonts w:hint="default" w:ascii="Times New Roman" w:hAnsi="Times New Roman" w:eastAsia="方正仿宋" w:cs="Times New Roman"/>
                <w:b w:val="0"/>
                <w:bCs w:val="0"/>
                <w:color w:val="000000"/>
                <w:kern w:val="0"/>
                <w:sz w:val="24"/>
                <w:szCs w:val="24"/>
                <w:lang w:val="en-US" w:eastAsia="zh-CN" w:bidi="ar"/>
              </w:rPr>
              <w:t>与LP进行商务谈判，修改基金组建方案等；</w:t>
            </w:r>
            <w:r>
              <w:rPr>
                <w:rFonts w:eastAsia="方正仿宋_GBK"/>
                <w:sz w:val="24"/>
                <w:szCs w:val="24"/>
                <w:highlight w:val="none"/>
              </w:rPr>
              <w:t>指导</w:t>
            </w:r>
            <w:r>
              <w:rPr>
                <w:rFonts w:hint="eastAsia" w:ascii="Times New Roman" w:hAnsi="Times New Roman" w:eastAsia="方正仿宋" w:cs="Times New Roman"/>
                <w:b w:val="0"/>
                <w:bCs w:val="0"/>
                <w:color w:val="000000"/>
                <w:kern w:val="0"/>
                <w:sz w:val="24"/>
                <w:szCs w:val="24"/>
                <w:lang w:val="en-US" w:eastAsia="zh-CN" w:bidi="ar"/>
              </w:rPr>
              <w:t>询价单位</w:t>
            </w:r>
            <w:r>
              <w:rPr>
                <w:rFonts w:eastAsia="方正仿宋_GBK"/>
                <w:sz w:val="24"/>
                <w:szCs w:val="24"/>
                <w:highlight w:val="none"/>
              </w:rPr>
              <w:t>按照相关法律法规以及基金业协会的自律性规则合法合规募集资金、留存募集文件</w:t>
            </w:r>
            <w:r>
              <w:rPr>
                <w:rFonts w:hint="eastAsia"/>
                <w:sz w:val="24"/>
                <w:szCs w:val="24"/>
                <w:highlight w:val="none"/>
                <w:lang w:eastAsia="zh-CN"/>
              </w:rPr>
              <w:t>；</w:t>
            </w:r>
            <w:r>
              <w:rPr>
                <w:rFonts w:hint="default" w:ascii="Times New Roman" w:hAnsi="Times New Roman" w:eastAsia="方正仿宋" w:cs="Times New Roman"/>
                <w:b w:val="0"/>
                <w:bCs w:val="0"/>
                <w:color w:val="000000"/>
                <w:kern w:val="0"/>
                <w:sz w:val="24"/>
                <w:szCs w:val="24"/>
                <w:lang w:val="en-US" w:eastAsia="zh-CN" w:bidi="ar"/>
              </w:rPr>
              <w:t>草拟、修改并完善与本基金有关的所有文件、协议等；出具法律意见书；</w:t>
            </w:r>
            <w:r>
              <w:rPr>
                <w:rFonts w:eastAsia="方正仿宋_GBK"/>
                <w:sz w:val="24"/>
                <w:szCs w:val="24"/>
                <w:highlight w:val="none"/>
              </w:rPr>
              <w:t>协助</w:t>
            </w:r>
            <w:r>
              <w:rPr>
                <w:rFonts w:hint="eastAsia" w:ascii="Times New Roman" w:hAnsi="Times New Roman" w:eastAsia="方正仿宋" w:cs="Times New Roman"/>
                <w:b w:val="0"/>
                <w:bCs w:val="0"/>
                <w:color w:val="000000"/>
                <w:kern w:val="0"/>
                <w:sz w:val="24"/>
                <w:szCs w:val="24"/>
                <w:lang w:val="en-US" w:eastAsia="zh-CN" w:bidi="ar"/>
              </w:rPr>
              <w:t>询价单位</w:t>
            </w:r>
            <w:r>
              <w:rPr>
                <w:rFonts w:eastAsia="方正仿宋_GBK"/>
                <w:sz w:val="24"/>
                <w:szCs w:val="24"/>
                <w:highlight w:val="none"/>
              </w:rPr>
              <w:t>完成基金层面制度建立</w:t>
            </w:r>
            <w:r>
              <w:rPr>
                <w:rFonts w:hint="eastAsia"/>
                <w:sz w:val="24"/>
                <w:szCs w:val="24"/>
                <w:highlight w:val="none"/>
                <w:lang w:eastAsia="zh-CN"/>
              </w:rPr>
              <w:t>；</w:t>
            </w:r>
            <w:r>
              <w:rPr>
                <w:rFonts w:hint="default" w:ascii="Times New Roman" w:hAnsi="Times New Roman" w:eastAsia="方正仿宋" w:cs="Times New Roman"/>
                <w:b w:val="0"/>
                <w:bCs w:val="0"/>
                <w:color w:val="000000"/>
                <w:kern w:val="0"/>
                <w:sz w:val="24"/>
                <w:szCs w:val="24"/>
                <w:lang w:val="en-US" w:eastAsia="zh-CN" w:bidi="ar"/>
              </w:rPr>
              <w:t xml:space="preserve">协助完成工商登记、基金备案等工作。 </w:t>
            </w:r>
            <w:r>
              <w:rPr>
                <w:rFonts w:hint="default" w:ascii="Times New Roman" w:hAnsi="Times New Roman" w:eastAsia="方正仿宋_GBK" w:cs="Times New Roman"/>
                <w:i w:val="0"/>
                <w:iCs w:val="0"/>
                <w:caps w:val="0"/>
                <w:color w:val="000000"/>
                <w:spacing w:val="0"/>
                <w:kern w:val="0"/>
                <w:sz w:val="24"/>
                <w:szCs w:val="24"/>
                <w:shd w:val="clear"/>
                <w:lang w:val="en-US" w:eastAsia="zh-CN" w:bidi="ar-SA"/>
              </w:rPr>
              <w:t xml:space="preserve"> </w:t>
            </w:r>
          </w:p>
          <w:p w14:paraId="0BA1475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szCs w:val="24"/>
                <w:vertAlign w:val="baseline"/>
                <w:lang w:val="en-US" w:eastAsia="zh-CN"/>
              </w:rPr>
            </w:pPr>
          </w:p>
        </w:tc>
      </w:tr>
      <w:tr w14:paraId="49BE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922" w:type="dxa"/>
            <w:vAlign w:val="center"/>
          </w:tcPr>
          <w:p w14:paraId="2C7E4EB0">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报价（包干价）</w:t>
            </w:r>
          </w:p>
        </w:tc>
        <w:tc>
          <w:tcPr>
            <w:tcW w:w="6600" w:type="dxa"/>
            <w:vAlign w:val="center"/>
          </w:tcPr>
          <w:p w14:paraId="69D81204">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人民币</w:t>
            </w:r>
            <w:r>
              <w:rPr>
                <w:rFonts w:hint="default" w:ascii="Times New Roman" w:hAnsi="Times New Roman" w:cs="Times New Roman"/>
                <w:sz w:val="24"/>
                <w:szCs w:val="24"/>
                <w:u w:val="single"/>
                <w:vertAlign w:val="baseline"/>
                <w:lang w:val="en-US" w:eastAsia="zh-CN"/>
              </w:rPr>
              <w:t xml:space="preserve">         </w:t>
            </w:r>
            <w:r>
              <w:rPr>
                <w:rFonts w:hint="default" w:ascii="Times New Roman" w:hAnsi="Times New Roman" w:cs="Times New Roman"/>
                <w:sz w:val="24"/>
                <w:szCs w:val="24"/>
                <w:vertAlign w:val="baseline"/>
                <w:lang w:val="en-US" w:eastAsia="zh-CN"/>
              </w:rPr>
              <w:t>元整（RMB 0.00）</w:t>
            </w:r>
          </w:p>
        </w:tc>
      </w:tr>
      <w:tr w14:paraId="4BE7A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922" w:type="dxa"/>
            <w:vAlign w:val="center"/>
          </w:tcPr>
          <w:p w14:paraId="33908AF5">
            <w:pPr>
              <w:widowControl w:val="0"/>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联系人和电话</w:t>
            </w:r>
          </w:p>
        </w:tc>
        <w:tc>
          <w:tcPr>
            <w:tcW w:w="6600" w:type="dxa"/>
            <w:vAlign w:val="center"/>
          </w:tcPr>
          <w:p w14:paraId="6FE4F785">
            <w:pPr>
              <w:widowControl w:val="0"/>
              <w:rPr>
                <w:rFonts w:hint="default" w:ascii="Times New Roman" w:hAnsi="Times New Roman" w:cs="Times New Roman"/>
                <w:sz w:val="24"/>
                <w:szCs w:val="24"/>
                <w:vertAlign w:val="baseline"/>
                <w:lang w:val="en-US" w:eastAsia="zh-CN"/>
              </w:rPr>
            </w:pPr>
          </w:p>
        </w:tc>
      </w:tr>
    </w:tbl>
    <w:p w14:paraId="1DA1DD46">
      <w:pPr>
        <w:rPr>
          <w:rFonts w:hint="default" w:ascii="Times New Roman" w:hAnsi="Times New Roman" w:cs="Times New Roman"/>
          <w:lang w:val="en-US" w:eastAsia="zh-CN"/>
        </w:rPr>
      </w:pPr>
    </w:p>
    <w:p w14:paraId="012D26C8">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     </w:t>
      </w:r>
    </w:p>
    <w:p w14:paraId="2738C9AC">
      <w:pPr>
        <w:jc w:val="center"/>
        <w:rPr>
          <w:rFonts w:hint="default" w:ascii="Times New Roman" w:hAnsi="Times New Roman" w:cs="Times New Roman"/>
          <w:sz w:val="24"/>
          <w:szCs w:val="24"/>
          <w:vertAlign w:val="baseline"/>
          <w:lang w:val="en-US" w:eastAsia="zh-CN"/>
        </w:rPr>
      </w:pPr>
    </w:p>
    <w:p w14:paraId="5368CA2C">
      <w:p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       报价单位（签章）：</w:t>
      </w:r>
    </w:p>
    <w:p w14:paraId="5E8EAE56">
      <w:pPr>
        <w:pStyle w:val="3"/>
        <w:jc w:val="right"/>
        <w:rPr>
          <w:rFonts w:hint="default" w:ascii="Times New Roman" w:hAnsi="Times New Roman" w:cs="Times New Roman"/>
          <w:sz w:val="24"/>
          <w:szCs w:val="24"/>
          <w:vertAlign w:val="baseline"/>
          <w:lang w:val="en-US" w:eastAsia="zh-CN"/>
        </w:rPr>
      </w:pPr>
    </w:p>
    <w:p w14:paraId="4E9824E7">
      <w:pPr>
        <w:pStyle w:val="3"/>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                         </w:t>
      </w:r>
    </w:p>
    <w:p w14:paraId="73E0C110">
      <w:pPr>
        <w:pStyle w:val="3"/>
        <w:jc w:val="right"/>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 xml:space="preserve">2025年 </w:t>
      </w: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 xml:space="preserve"> 月    日</w:t>
      </w:r>
    </w:p>
    <w:p w14:paraId="74526F87">
      <w:pPr>
        <w:rPr>
          <w:rFonts w:hint="default" w:ascii="Times New Roman" w:hAnsi="Times New Roman" w:cs="Times New Roman"/>
          <w:sz w:val="24"/>
          <w:szCs w:val="24"/>
          <w:vertAlign w:val="baseline"/>
          <w:lang w:val="en-US" w:eastAsia="zh-CN"/>
        </w:rPr>
      </w:pPr>
    </w:p>
    <w:p w14:paraId="048A74E5">
      <w:pPr>
        <w:pStyle w:val="3"/>
        <w:rPr>
          <w:rFonts w:hint="default" w:ascii="Times New Roman" w:hAnsi="Times New Roman" w:cs="Times New Roman"/>
          <w:sz w:val="24"/>
          <w:szCs w:val="24"/>
          <w:vertAlign w:val="baseline"/>
          <w:lang w:val="en-US" w:eastAsia="zh-CN"/>
        </w:rPr>
      </w:pPr>
    </w:p>
    <w:p w14:paraId="03A3103D">
      <w:pPr>
        <w:pStyle w:val="2"/>
        <w:tabs>
          <w:tab w:val="left" w:pos="0"/>
        </w:tabs>
        <w:spacing w:line="360" w:lineRule="auto"/>
        <w:ind w:left="1606" w:hanging="1606"/>
        <w:jc w:val="center"/>
        <w:rPr>
          <w:rFonts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承诺函</w:t>
      </w:r>
    </w:p>
    <w:p w14:paraId="2824D252">
      <w:pPr>
        <w:spacing w:line="360" w:lineRule="auto"/>
        <w:rPr>
          <w:rFonts w:ascii="Times New Roman" w:hAnsi="Times New Roman" w:cs="Times New Roman"/>
          <w:color w:val="auto"/>
          <w:highlight w:val="none"/>
        </w:rPr>
      </w:pPr>
    </w:p>
    <w:p w14:paraId="0D264160">
      <w:pPr>
        <w:widowControl/>
        <w:spacing w:line="360" w:lineRule="auto"/>
        <w:ind w:firstLine="480" w:firstLineChars="200"/>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本</w:t>
      </w:r>
      <w:r>
        <w:rPr>
          <w:rFonts w:hint="eastAsia" w:cs="Times New Roman"/>
          <w:color w:val="auto"/>
          <w:szCs w:val="21"/>
          <w:highlight w:val="none"/>
          <w:lang w:val="en-US" w:eastAsia="zh-CN"/>
        </w:rPr>
        <w:t>律所</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填写</w:t>
      </w:r>
      <w:r>
        <w:rPr>
          <w:rFonts w:ascii="Times New Roman" w:hAnsi="Times New Roman" w:cs="Times New Roman"/>
          <w:color w:val="auto"/>
          <w:szCs w:val="21"/>
          <w:highlight w:val="none"/>
          <w:u w:val="single"/>
        </w:rPr>
        <w:t>单位</w:t>
      </w:r>
      <w:r>
        <w:rPr>
          <w:rFonts w:hint="eastAsia" w:ascii="Times New Roman" w:hAnsi="Times New Roman" w:cs="Times New Roman"/>
          <w:color w:val="auto"/>
          <w:szCs w:val="21"/>
          <w:highlight w:val="none"/>
          <w:u w:val="single"/>
          <w:lang w:val="en-US" w:eastAsia="zh-CN"/>
        </w:rPr>
        <w:t>全</w:t>
      </w:r>
      <w:r>
        <w:rPr>
          <w:rFonts w:ascii="Times New Roman" w:hAnsi="Times New Roman" w:cs="Times New Roman"/>
          <w:color w:val="auto"/>
          <w:szCs w:val="21"/>
          <w:highlight w:val="none"/>
          <w:u w:val="single"/>
        </w:rPr>
        <w:t>称）</w:t>
      </w:r>
      <w:r>
        <w:rPr>
          <w:rFonts w:hint="default" w:ascii="Times New Roman" w:hAnsi="Times New Roman" w:cs="Times New Roman"/>
          <w:color w:val="auto"/>
          <w:szCs w:val="21"/>
          <w:highlight w:val="none"/>
        </w:rPr>
        <w:t>参加</w:t>
      </w:r>
      <w:r>
        <w:rPr>
          <w:rFonts w:hint="default" w:ascii="Times New Roman" w:hAnsi="Times New Roman" w:eastAsia="方正仿宋" w:cs="Times New Roman"/>
          <w:color w:val="000000"/>
          <w:kern w:val="0"/>
          <w:sz w:val="24"/>
          <w:szCs w:val="24"/>
          <w:lang w:val="en-US" w:eastAsia="zh-CN" w:bidi="ar"/>
        </w:rPr>
        <w:t>H基金</w:t>
      </w:r>
      <w:r>
        <w:rPr>
          <w:rFonts w:hint="default" w:ascii="Times New Roman" w:hAnsi="Times New Roman" w:eastAsia="方正仿宋" w:cs="Times New Roman"/>
          <w:snapToGrid w:val="0"/>
          <w:color w:val="000000"/>
          <w:kern w:val="2"/>
          <w:sz w:val="24"/>
          <w:szCs w:val="24"/>
          <w:lang w:val="en-US" w:eastAsia="zh-CN" w:bidi="ar"/>
        </w:rPr>
        <w:t>设立及备案法律服务</w:t>
      </w:r>
      <w:r>
        <w:rPr>
          <w:rFonts w:hint="default" w:ascii="Times New Roman" w:hAnsi="Times New Roman" w:cs="Times New Roman"/>
          <w:color w:val="auto"/>
          <w:szCs w:val="21"/>
          <w:highlight w:val="none"/>
        </w:rPr>
        <w:t>的</w:t>
      </w:r>
      <w:r>
        <w:rPr>
          <w:rFonts w:hint="eastAsia" w:ascii="Times New Roman" w:hAnsi="Times New Roman" w:cs="Times New Roman"/>
          <w:color w:val="auto"/>
          <w:szCs w:val="21"/>
          <w:highlight w:val="none"/>
          <w:lang w:val="en-US" w:eastAsia="zh-CN"/>
        </w:rPr>
        <w:t>公开比价</w:t>
      </w:r>
      <w:r>
        <w:rPr>
          <w:rFonts w:hint="default" w:ascii="Times New Roman" w:hAnsi="Times New Roman" w:cs="Times New Roman"/>
          <w:color w:val="auto"/>
          <w:szCs w:val="21"/>
          <w:highlight w:val="none"/>
        </w:rPr>
        <w:t>活动，现根据</w:t>
      </w:r>
      <w:r>
        <w:rPr>
          <w:rFonts w:hint="eastAsia" w:ascii="Times New Roman" w:hAnsi="Times New Roman" w:cs="Times New Roman"/>
          <w:color w:val="auto"/>
          <w:szCs w:val="21"/>
          <w:highlight w:val="none"/>
          <w:lang w:val="en-US" w:eastAsia="zh-CN"/>
        </w:rPr>
        <w:t>公开比价公告</w:t>
      </w:r>
      <w:r>
        <w:rPr>
          <w:rFonts w:hint="default" w:ascii="Times New Roman" w:hAnsi="Times New Roman" w:cs="Times New Roman"/>
          <w:color w:val="auto"/>
          <w:szCs w:val="21"/>
          <w:highlight w:val="none"/>
        </w:rPr>
        <w:t>关于</w:t>
      </w:r>
      <w:r>
        <w:rPr>
          <w:rFonts w:hint="eastAsia" w:ascii="Times New Roman" w:hAnsi="Times New Roman" w:cs="Times New Roman"/>
          <w:color w:val="auto"/>
          <w:szCs w:val="21"/>
          <w:highlight w:val="none"/>
          <w:lang w:val="en-US" w:eastAsia="zh-CN"/>
        </w:rPr>
        <w:t>供应商的</w:t>
      </w:r>
      <w:r>
        <w:rPr>
          <w:rFonts w:hint="default" w:ascii="Times New Roman" w:hAnsi="Times New Roman" w:cs="Times New Roman"/>
          <w:color w:val="auto"/>
          <w:szCs w:val="21"/>
          <w:highlight w:val="none"/>
        </w:rPr>
        <w:t>资格要求的相关规定，特别针对以下条款，郑重承诺：</w:t>
      </w:r>
    </w:p>
    <w:p w14:paraId="6070FBDD">
      <w:pPr>
        <w:keepNext w:val="0"/>
        <w:keepLines w:val="0"/>
        <w:widowControl w:val="0"/>
        <w:numPr>
          <w:ilvl w:val="0"/>
          <w:numId w:val="1"/>
        </w:numPr>
        <w:suppressLineNumbers w:val="0"/>
        <w:spacing w:before="0" w:beforeAutospacing="0" w:after="0" w:afterAutospacing="0" w:line="440" w:lineRule="exact"/>
        <w:ind w:left="0" w:leftChars="0" w:right="0" w:firstLine="480" w:firstLineChars="0"/>
        <w:jc w:val="both"/>
        <w:rPr>
          <w:rFonts w:hint="default" w:ascii="Times New Roman" w:hAnsi="Times New Roman" w:eastAsia="方正仿宋" w:cs="Times New Roman"/>
          <w:kern w:val="2"/>
          <w:sz w:val="24"/>
          <w:szCs w:val="24"/>
        </w:rPr>
      </w:pPr>
      <w:r>
        <w:rPr>
          <w:rFonts w:hint="default" w:ascii="Times New Roman" w:hAnsi="Times New Roman" w:eastAsia="方正仿宋" w:cs="Times New Roman"/>
          <w:b w:val="0"/>
          <w:bCs w:val="0"/>
          <w:snapToGrid w:val="0"/>
          <w:color w:val="000000"/>
          <w:kern w:val="2"/>
          <w:sz w:val="24"/>
          <w:szCs w:val="24"/>
          <w:lang w:val="en-US" w:eastAsia="zh-CN" w:bidi="ar"/>
        </w:rPr>
        <w:t>具有合法有效的律师事务所执业许可证；</w:t>
      </w:r>
    </w:p>
    <w:p w14:paraId="5D7EA9ED">
      <w:pPr>
        <w:keepNext w:val="0"/>
        <w:keepLines w:val="0"/>
        <w:widowControl w:val="0"/>
        <w:numPr>
          <w:ilvl w:val="0"/>
          <w:numId w:val="1"/>
        </w:numPr>
        <w:suppressLineNumbers w:val="0"/>
        <w:spacing w:before="0" w:beforeAutospacing="0" w:after="0" w:afterAutospacing="0" w:line="440" w:lineRule="exact"/>
        <w:ind w:left="0" w:leftChars="0" w:right="0" w:firstLine="480" w:firstLineChars="0"/>
        <w:jc w:val="both"/>
        <w:rPr>
          <w:rFonts w:hint="default" w:ascii="Times New Roman" w:hAnsi="Times New Roman" w:eastAsia="方正仿宋" w:cs="Times New Roman"/>
          <w:kern w:val="2"/>
          <w:sz w:val="24"/>
          <w:szCs w:val="24"/>
        </w:rPr>
      </w:pPr>
      <w:r>
        <w:rPr>
          <w:rFonts w:hint="default" w:ascii="Times New Roman" w:hAnsi="Times New Roman" w:eastAsia="方正仿宋" w:cs="Times New Roman"/>
          <w:snapToGrid w:val="0"/>
          <w:color w:val="000000"/>
          <w:kern w:val="2"/>
          <w:sz w:val="24"/>
          <w:szCs w:val="24"/>
          <w:lang w:val="en-US" w:eastAsia="zh-CN" w:bidi="ar"/>
        </w:rPr>
        <w:t>类似项目业绩要求：2023年以来（含2023年）具有1个由基金管理人委托的提供设立私募基金法律服务并完成基金备案的业绩</w:t>
      </w:r>
      <w:r>
        <w:rPr>
          <w:rFonts w:hint="eastAsia" w:eastAsia="方正仿宋" w:cs="Times New Roman"/>
          <w:snapToGrid w:val="0"/>
          <w:color w:val="000000"/>
          <w:kern w:val="2"/>
          <w:sz w:val="24"/>
          <w:szCs w:val="24"/>
          <w:lang w:val="en-US" w:eastAsia="zh-CN" w:bidi="ar"/>
        </w:rPr>
        <w:t>；</w:t>
      </w:r>
    </w:p>
    <w:p w14:paraId="1F47E234">
      <w:pPr>
        <w:keepNext w:val="0"/>
        <w:keepLines w:val="0"/>
        <w:widowControl w:val="0"/>
        <w:numPr>
          <w:ilvl w:val="0"/>
          <w:numId w:val="1"/>
        </w:numPr>
        <w:suppressLineNumbers w:val="0"/>
        <w:spacing w:before="0" w:beforeAutospacing="0" w:after="0" w:afterAutospacing="0" w:line="440" w:lineRule="exact"/>
        <w:ind w:left="0" w:leftChars="0" w:right="0" w:firstLine="480" w:firstLineChars="0"/>
        <w:jc w:val="both"/>
        <w:rPr>
          <w:rFonts w:hint="default" w:ascii="Times New Roman" w:hAnsi="Times New Roman" w:eastAsia="方正仿宋" w:cs="Times New Roman"/>
          <w:b/>
          <w:bCs w:val="0"/>
          <w:color w:val="000000"/>
          <w:kern w:val="2"/>
          <w:sz w:val="24"/>
          <w:szCs w:val="24"/>
        </w:rPr>
      </w:pPr>
      <w:r>
        <w:rPr>
          <w:rFonts w:hint="default" w:ascii="Times New Roman" w:hAnsi="Times New Roman" w:eastAsia="方正仿宋" w:cs="Times New Roman"/>
          <w:snapToGrid w:val="0"/>
          <w:color w:val="000000"/>
          <w:kern w:val="2"/>
          <w:sz w:val="24"/>
          <w:szCs w:val="24"/>
          <w:lang w:val="en-US" w:eastAsia="zh-CN" w:bidi="ar"/>
        </w:rPr>
        <w:t>参加本次公开比价活动前三年内，在经营活动中没有重大违法违规记录</w:t>
      </w:r>
      <w:r>
        <w:rPr>
          <w:rFonts w:hint="eastAsia" w:eastAsia="方正仿宋" w:cs="Times New Roman"/>
          <w:snapToGrid w:val="0"/>
          <w:color w:val="000000"/>
          <w:kern w:val="2"/>
          <w:sz w:val="24"/>
          <w:szCs w:val="24"/>
          <w:lang w:val="en-US" w:eastAsia="zh-CN" w:bidi="ar"/>
        </w:rPr>
        <w:t>；</w:t>
      </w:r>
    </w:p>
    <w:p w14:paraId="67BC3845">
      <w:pPr>
        <w:keepNext w:val="0"/>
        <w:keepLines w:val="0"/>
        <w:widowControl w:val="0"/>
        <w:numPr>
          <w:ilvl w:val="0"/>
          <w:numId w:val="1"/>
        </w:numPr>
        <w:suppressLineNumbers w:val="0"/>
        <w:spacing w:before="0" w:beforeAutospacing="0" w:after="0" w:afterAutospacing="0" w:line="440" w:lineRule="exact"/>
        <w:ind w:left="0" w:leftChars="0" w:right="0" w:firstLine="480" w:firstLineChars="0"/>
        <w:jc w:val="both"/>
        <w:rPr>
          <w:rFonts w:hint="default" w:ascii="Times New Roman" w:hAnsi="Times New Roman" w:eastAsia="方正仿宋" w:cs="Times New Roman"/>
          <w:b/>
          <w:bCs w:val="0"/>
          <w:color w:val="000000"/>
          <w:kern w:val="2"/>
          <w:sz w:val="24"/>
          <w:szCs w:val="24"/>
        </w:rPr>
      </w:pPr>
      <w:r>
        <w:rPr>
          <w:rFonts w:hint="default" w:ascii="Times New Roman" w:hAnsi="Times New Roman" w:eastAsia="方正仿宋" w:cs="Times New Roman"/>
          <w:snapToGrid w:val="0"/>
          <w:color w:val="000000"/>
          <w:kern w:val="2"/>
          <w:sz w:val="24"/>
          <w:szCs w:val="24"/>
          <w:lang w:val="en-US" w:eastAsia="zh-CN" w:bidi="ar"/>
        </w:rPr>
        <w:t>截至递交公开比价截止日，未被列入失信被执行人、重大税收违法失信主体、政府采购严重违法失信行为记录名单。</w:t>
      </w:r>
    </w:p>
    <w:p w14:paraId="089999C3">
      <w:pPr>
        <w:widowControl/>
        <w:spacing w:line="360" w:lineRule="auto"/>
        <w:ind w:firstLine="480" w:firstLineChars="200"/>
        <w:rPr>
          <w:rFonts w:ascii="Times New Roman" w:hAnsi="Times New Roman" w:cs="Times New Roman"/>
          <w:color w:val="auto"/>
          <w:szCs w:val="21"/>
          <w:highlight w:val="none"/>
        </w:rPr>
      </w:pPr>
    </w:p>
    <w:p w14:paraId="6FED840A">
      <w:pPr>
        <w:widowControl/>
        <w:spacing w:line="360" w:lineRule="auto"/>
        <w:ind w:firstLine="480" w:firstLineChars="200"/>
        <w:jc w:val="left"/>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如违反以上承诺，本公司愿承担一切法律责任。</w:t>
      </w:r>
    </w:p>
    <w:p w14:paraId="35E1FE31">
      <w:pPr>
        <w:adjustRightInd w:val="0"/>
        <w:spacing w:line="360" w:lineRule="auto"/>
        <w:ind w:firstLine="4080" w:firstLineChars="1700"/>
        <w:rPr>
          <w:rFonts w:ascii="Times New Roman" w:hAnsi="Times New Roman" w:cs="Times New Roman"/>
          <w:color w:val="auto"/>
          <w:szCs w:val="21"/>
          <w:highlight w:val="none"/>
        </w:rPr>
      </w:pPr>
    </w:p>
    <w:p w14:paraId="26D12EA1">
      <w:pPr>
        <w:adjustRightInd w:val="0"/>
        <w:spacing w:line="360" w:lineRule="auto"/>
        <w:ind w:firstLine="4080" w:firstLineChars="1700"/>
        <w:rPr>
          <w:rFonts w:ascii="Times New Roman" w:hAnsi="Times New Roman" w:cs="Times New Roman"/>
          <w:color w:val="auto"/>
          <w:szCs w:val="21"/>
          <w:highlight w:val="none"/>
        </w:rPr>
      </w:pPr>
    </w:p>
    <w:p w14:paraId="1A0DA805">
      <w:pPr>
        <w:adjustRightInd w:val="0"/>
        <w:spacing w:line="360" w:lineRule="auto"/>
        <w:ind w:firstLine="0" w:firstLineChars="0"/>
        <w:rPr>
          <w:rFonts w:hint="eastAsia" w:ascii="Times New Roman" w:hAnsi="Times New Roman" w:cs="Times New Roman"/>
          <w:color w:val="auto"/>
          <w:szCs w:val="21"/>
          <w:highlight w:val="none"/>
          <w:lang w:val="en-US" w:eastAsia="zh-CN"/>
        </w:rPr>
      </w:pPr>
    </w:p>
    <w:p w14:paraId="21E6D2A8">
      <w:pPr>
        <w:adjustRightInd w:val="0"/>
        <w:spacing w:line="360" w:lineRule="auto"/>
        <w:ind w:firstLine="0" w:firstLineChars="0"/>
        <w:rPr>
          <w:rFonts w:hint="eastAsia" w:ascii="Times New Roman" w:hAnsi="Times New Roman" w:cs="Times New Roman"/>
          <w:color w:val="auto"/>
          <w:szCs w:val="21"/>
          <w:highlight w:val="none"/>
          <w:lang w:val="en-US" w:eastAsia="zh-CN"/>
        </w:rPr>
      </w:pPr>
    </w:p>
    <w:p w14:paraId="24082AEE">
      <w:pPr>
        <w:adjustRightInd w:val="0"/>
        <w:spacing w:line="360" w:lineRule="auto"/>
        <w:ind w:firstLine="2640" w:firstLineChars="110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承诺人（公章）</w:t>
      </w:r>
      <w:r>
        <w:rPr>
          <w:rFonts w:hint="default" w:ascii="Times New Roman" w:hAnsi="Times New Roman" w:cs="Times New Roman"/>
          <w:color w:val="auto"/>
          <w:szCs w:val="21"/>
          <w:highlight w:val="none"/>
        </w:rPr>
        <w:t>：</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p>
    <w:p w14:paraId="13E0BA7D">
      <w:pPr>
        <w:adjustRightInd w:val="0"/>
        <w:spacing w:line="360" w:lineRule="auto"/>
        <w:ind w:firstLine="2640" w:firstLineChars="1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r>
        <w:rPr>
          <w:rFonts w:ascii="Times New Roman" w:hAnsi="Times New Roman" w:cs="Times New Roman"/>
          <w:color w:val="auto"/>
          <w:szCs w:val="21"/>
          <w:highlight w:val="none"/>
        </w:rPr>
        <w:t>或其授权委托代理人</w:t>
      </w:r>
      <w:r>
        <w:rPr>
          <w:rFonts w:hint="default" w:ascii="Times New Roman" w:hAnsi="Times New Roman" w:cs="Times New Roman"/>
          <w:color w:val="auto"/>
          <w:szCs w:val="21"/>
          <w:highlight w:val="none"/>
        </w:rPr>
        <w:t>（签字）：</w:t>
      </w:r>
      <w:r>
        <w:rPr>
          <w:rFonts w:hint="eastAsia" w:ascii="Times New Roman" w:hAnsi="Times New Roman" w:cs="Times New Roman"/>
          <w:color w:val="auto"/>
          <w:szCs w:val="21"/>
          <w:highlight w:val="none"/>
          <w:lang w:val="en-US" w:eastAsia="zh-CN"/>
        </w:rPr>
        <w:t xml:space="preserve">  </w:t>
      </w:r>
      <w:r>
        <w:rPr>
          <w:rFonts w:ascii="Times New Roman" w:hAnsi="Times New Roman" w:cs="Times New Roman"/>
          <w:color w:val="auto"/>
          <w:szCs w:val="21"/>
          <w:highlight w:val="none"/>
          <w:u w:val="single"/>
        </w:rPr>
        <w:t xml:space="preserve">     </w:t>
      </w:r>
    </w:p>
    <w:p w14:paraId="3AD04820">
      <w:pPr>
        <w:adjustRightInd w:val="0"/>
        <w:spacing w:line="360" w:lineRule="auto"/>
        <w:ind w:firstLine="2640" w:firstLineChars="1100"/>
        <w:rPr>
          <w:rFonts w:ascii="Times New Roman" w:hAnsi="Times New Roman" w:cs="Times New Roman"/>
          <w:color w:val="auto"/>
          <w:szCs w:val="21"/>
          <w:highlight w:val="none"/>
        </w:rPr>
      </w:pPr>
      <w:r>
        <w:rPr>
          <w:rFonts w:hint="default"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default" w:ascii="Times New Roman" w:hAnsi="Times New Roman" w:cs="Times New Roman"/>
          <w:color w:val="auto"/>
          <w:szCs w:val="21"/>
          <w:highlight w:val="none"/>
        </w:rPr>
        <w:t>期</w:t>
      </w:r>
      <w:r>
        <w:rPr>
          <w:rFonts w:hint="eastAsia" w:ascii="Times New Roman" w:hAnsi="Times New Roman" w:cs="Times New Roman"/>
          <w:color w:val="auto"/>
          <w:szCs w:val="21"/>
          <w:highlight w:val="none"/>
          <w:lang w:eastAsia="zh-CN"/>
        </w:rPr>
        <w:t>：</w:t>
      </w:r>
      <w:r>
        <w:rPr>
          <w:rFonts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w:t>
      </w:r>
    </w:p>
    <w:p w14:paraId="352025CF">
      <w:pPr>
        <w:adjustRightInd w:val="0"/>
        <w:spacing w:line="360" w:lineRule="auto"/>
        <w:ind w:firstLine="4560" w:firstLineChars="1900"/>
        <w:rPr>
          <w:rFonts w:ascii="Times New Roman" w:hAnsi="Times New Roman" w:cs="Times New Roman"/>
          <w:color w:val="auto"/>
          <w:szCs w:val="21"/>
          <w:highlight w:val="none"/>
        </w:rPr>
      </w:pPr>
    </w:p>
    <w:p w14:paraId="4873DC85">
      <w:pPr>
        <w:spacing w:line="360" w:lineRule="auto"/>
        <w:rPr>
          <w:rFonts w:ascii="Times New Roman" w:hAnsi="Times New Roman" w:cs="Times New Roman"/>
          <w:color w:val="auto"/>
          <w:highlight w:val="none"/>
        </w:rPr>
      </w:pPr>
    </w:p>
    <w:p w14:paraId="275AD457">
      <w:pPr>
        <w:pStyle w:val="3"/>
      </w:pPr>
    </w:p>
    <w:p w14:paraId="4C598E2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仿宋">
    <w:altName w:val="仿宋"/>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EEEB1"/>
    <w:multiLevelType w:val="multilevel"/>
    <w:tmpl w:val="4D5EEEB1"/>
    <w:lvl w:ilvl="0" w:tentative="0">
      <w:start w:val="1"/>
      <w:numFmt w:val="decimal"/>
      <w:suff w:val="nothing"/>
      <w:lvlText w:val="%1、"/>
      <w:lvlJc w:val="left"/>
      <w:pPr>
        <w:ind w:left="0" w:firstLine="0"/>
      </w:pPr>
      <w:rPr>
        <w:rFonts w:hint="default" w:ascii="Times New Roman" w:hAnsi="Times New Roman" w:cs="Times New Roman"/>
        <w:b w:val="0"/>
        <w:bCs w:val="0"/>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90259"/>
    <w:rsid w:val="32C9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Times New Roman" w:hAnsi="Times New Roman" w:eastAsia="方正仿宋_GBK" w:cs="方正仿宋_GBK"/>
      <w:snapToGrid w:val="0"/>
      <w:color w:val="000000"/>
      <w:kern w:val="0"/>
      <w:sz w:val="24"/>
      <w:szCs w:val="24"/>
      <w:lang w:val="en-US" w:eastAsia="en-US" w:bidi="ar-SA"/>
    </w:rPr>
  </w:style>
  <w:style w:type="paragraph" w:styleId="2">
    <w:name w:val="heading 2"/>
    <w:basedOn w:val="1"/>
    <w:next w:val="1"/>
    <w:qFormat/>
    <w:uiPriority w:val="0"/>
    <w:pPr>
      <w:keepNext/>
      <w:jc w:val="left"/>
      <w:outlineLvl w:val="1"/>
    </w:pPr>
    <w:rPr>
      <w:rFonts w:ascii="宋体" w:hAnsi="宋体"/>
      <w:b/>
      <w:bCs/>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keepNext w:val="0"/>
      <w:keepLines w:val="0"/>
      <w:widowControl w:val="0"/>
      <w:suppressLineNumbers w:val="0"/>
      <w:spacing w:after="120" w:afterLines="0" w:afterAutospacing="0"/>
      <w:jc w:val="both"/>
    </w:pPr>
    <w:rPr>
      <w:rFonts w:hint="default" w:ascii="Calibri" w:hAnsi="Calibri" w:eastAsia="宋体" w:cs="Times New Roman"/>
      <w:kern w:val="2"/>
      <w:sz w:val="21"/>
      <w:szCs w:val="21"/>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2026-06-02T06:24:00Z</dcterms:created>
  <dc:creator>东方浪味仙</dc:creator>
  <cp:lastModifiedBy>东方浪味仙</cp:lastModifiedBy>
  <dcterms:modified xsi:type="dcterms:W3CDTF">2026-06-02T06:24:56Z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13E1E68591A74290BD3408F4B8561F11_11</vt:lpwstr>
  </property>
  <property fmtid="{D5CDD505-2E9C-101B-9397-08002B2CF9AE}" pid="4" name="KSOTemplateDocerSaveRecord">
    <vt:lpwstr>eyJoZGlkIjoiMzMyMTgzZDZkODExMmMyODc3NWQ3NmM4M2VlNzY0ZjciLCJ1c2VySWQiOiIxMTM0MTg0NTU4In0=</vt:lpwstr>
  </property>
</Properties>
</file>